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AA777F" w:rsidTr="005C4936">
        <w:trPr>
          <w:cantSplit/>
          <w:trHeight w:hRule="exact" w:val="1644"/>
        </w:trPr>
        <w:tc>
          <w:tcPr>
            <w:tcW w:w="1705" w:type="dxa"/>
            <w:vAlign w:val="bottom"/>
            <w:hideMark/>
          </w:tcPr>
          <w:p w:rsidR="00092472" w:rsidRPr="00AA777F" w:rsidRDefault="002008A0" w:rsidP="00C351CC">
            <w:pPr>
              <w:pStyle w:val="EntInstit"/>
              <w:tabs>
                <w:tab w:val="left" w:pos="851"/>
                <w:tab w:val="left" w:pos="1857"/>
                <w:tab w:val="left" w:pos="2659"/>
              </w:tabs>
              <w:ind w:right="-284"/>
              <w:jc w:val="left"/>
              <w:rPr>
                <w:rFonts w:ascii="Arial" w:hAnsi="Arial"/>
                <w:sz w:val="23"/>
                <w:lang w:val="lv-LV"/>
              </w:rPr>
            </w:pPr>
            <w:bookmarkStart w:id="0" w:name="_GoBack"/>
            <w:bookmarkEnd w:id="0"/>
            <w:r w:rsidRPr="00AA777F">
              <w:rPr>
                <w:noProof/>
                <w:lang w:val="lv-LV" w:eastAsia="lv-LV"/>
              </w:rPr>
              <w:drawing>
                <wp:anchor distT="0" distB="0" distL="114300" distR="114300" simplePos="0" relativeHeight="251658752" behindDoc="0" locked="0" layoutInCell="1" allowOverlap="1" wp14:anchorId="00F8EF2F" wp14:editId="68FC8363">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AA777F" w:rsidRDefault="005F0EC3" w:rsidP="00C351CC">
            <w:pPr>
              <w:pStyle w:val="EntInstit"/>
              <w:spacing w:line="216" w:lineRule="auto"/>
              <w:jc w:val="left"/>
              <w:rPr>
                <w:rFonts w:ascii="Arial" w:hAnsi="Arial"/>
                <w:color w:val="4D4D4D"/>
                <w:sz w:val="23"/>
                <w:lang w:val="lv-LV"/>
              </w:rPr>
            </w:pPr>
            <w:bookmarkStart w:id="1" w:name="Entete"/>
            <w:bookmarkEnd w:id="1"/>
            <w:r w:rsidRPr="00AA777F">
              <w:rPr>
                <w:rFonts w:ascii="Arial" w:hAnsi="Arial"/>
                <w:color w:val="4D4D4D"/>
                <w:sz w:val="23"/>
                <w:lang w:val="lv-LV"/>
              </w:rPr>
              <w:t>Eiropas Savienības</w:t>
            </w:r>
          </w:p>
          <w:p w:rsidR="00092472" w:rsidRPr="00AA777F" w:rsidRDefault="005F0EC3" w:rsidP="00C351CC">
            <w:pPr>
              <w:pStyle w:val="EntInstit"/>
              <w:spacing w:line="216" w:lineRule="auto"/>
              <w:jc w:val="left"/>
              <w:rPr>
                <w:rFonts w:ascii="Arial" w:hAnsi="Arial"/>
                <w:color w:val="4D4D4D"/>
                <w:sz w:val="23"/>
                <w:lang w:val="lv-LV"/>
              </w:rPr>
            </w:pPr>
            <w:r w:rsidRPr="00AA777F">
              <w:rPr>
                <w:rFonts w:ascii="Arial" w:hAnsi="Arial"/>
                <w:color w:val="4D4D4D"/>
                <w:sz w:val="23"/>
                <w:lang w:val="lv-LV"/>
              </w:rPr>
              <w:t>Padome</w:t>
            </w:r>
          </w:p>
          <w:p w:rsidR="00092472" w:rsidRPr="00AA777F"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AA777F" w:rsidRDefault="00092472" w:rsidP="00C351CC">
            <w:pPr>
              <w:pStyle w:val="EntInstit"/>
              <w:jc w:val="left"/>
              <w:rPr>
                <w:rFonts w:ascii="Arial" w:hAnsi="Arial"/>
                <w:sz w:val="23"/>
                <w:lang w:val="lv-LV"/>
              </w:rPr>
            </w:pPr>
          </w:p>
        </w:tc>
        <w:tc>
          <w:tcPr>
            <w:tcW w:w="3972" w:type="dxa"/>
          </w:tcPr>
          <w:p w:rsidR="00C86DDC" w:rsidRPr="00AA777F" w:rsidRDefault="00C86DDC" w:rsidP="005C4936">
            <w:pPr>
              <w:pStyle w:val="EntInstit"/>
              <w:spacing w:line="192" w:lineRule="auto"/>
              <w:jc w:val="left"/>
              <w:rPr>
                <w:rFonts w:ascii="Arial" w:hAnsi="Arial"/>
                <w:sz w:val="23"/>
                <w:lang w:val="lv-LV"/>
              </w:rPr>
            </w:pPr>
          </w:p>
        </w:tc>
      </w:tr>
      <w:tr w:rsidR="00FB16BD" w:rsidRPr="006A0200" w:rsidTr="0075359F">
        <w:tblPrEx>
          <w:tblLook w:val="0000" w:firstRow="0" w:lastRow="0" w:firstColumn="0" w:lastColumn="0" w:noHBand="0" w:noVBand="0"/>
        </w:tblPrEx>
        <w:trPr>
          <w:cantSplit/>
          <w:trHeight w:val="252"/>
        </w:trPr>
        <w:tc>
          <w:tcPr>
            <w:tcW w:w="3969" w:type="dxa"/>
            <w:gridSpan w:val="2"/>
          </w:tcPr>
          <w:p w:rsidR="00FB16BD" w:rsidRPr="00AA777F" w:rsidRDefault="00FB16BD" w:rsidP="00B112C8">
            <w:pPr>
              <w:pStyle w:val="EntRefer"/>
              <w:jc w:val="right"/>
              <w:rPr>
                <w:rFonts w:ascii="Arial" w:hAnsi="Arial"/>
                <w:color w:val="001718"/>
                <w:sz w:val="23"/>
                <w:lang w:val="lv-LV"/>
              </w:rPr>
            </w:pPr>
          </w:p>
        </w:tc>
        <w:tc>
          <w:tcPr>
            <w:tcW w:w="1704" w:type="dxa"/>
            <w:gridSpan w:val="2"/>
          </w:tcPr>
          <w:p w:rsidR="00FB16BD" w:rsidRPr="00AA777F" w:rsidRDefault="00FB16BD" w:rsidP="00B112C8">
            <w:pPr>
              <w:pStyle w:val="EntRefer"/>
              <w:rPr>
                <w:rFonts w:ascii="Arial" w:hAnsi="Arial"/>
                <w:sz w:val="23"/>
                <w:lang w:val="lv-LV"/>
              </w:rPr>
            </w:pPr>
          </w:p>
        </w:tc>
        <w:tc>
          <w:tcPr>
            <w:tcW w:w="3972" w:type="dxa"/>
          </w:tcPr>
          <w:p w:rsidR="00FB16BD" w:rsidRPr="00AA777F" w:rsidRDefault="005F0EC3" w:rsidP="00B112C8">
            <w:pPr>
              <w:pStyle w:val="EntRefer"/>
              <w:rPr>
                <w:rFonts w:ascii="Arial" w:hAnsi="Arial"/>
                <w:sz w:val="23"/>
                <w:lang w:val="lv-LV"/>
              </w:rPr>
            </w:pPr>
            <w:bookmarkStart w:id="2" w:name="Lieu"/>
            <w:bookmarkEnd w:id="2"/>
            <w:r w:rsidRPr="00AA777F">
              <w:rPr>
                <w:rFonts w:ascii="Arial" w:hAnsi="Arial"/>
                <w:sz w:val="23"/>
                <w:lang w:val="lv-LV"/>
              </w:rPr>
              <w:t>Briselē</w:t>
            </w:r>
            <w:r w:rsidR="002008A0" w:rsidRPr="00AA777F">
              <w:rPr>
                <w:rFonts w:ascii="Arial" w:hAnsi="Arial"/>
                <w:sz w:val="23"/>
                <w:lang w:val="lv-LV"/>
              </w:rPr>
              <w:t>,</w:t>
            </w:r>
            <w:r w:rsidR="00FB16BD" w:rsidRPr="00AA777F">
              <w:rPr>
                <w:rFonts w:ascii="Arial" w:hAnsi="Arial"/>
                <w:sz w:val="23"/>
                <w:lang w:val="lv-LV"/>
              </w:rPr>
              <w:t xml:space="preserve"> </w:t>
            </w:r>
            <w:bookmarkStart w:id="3" w:name="Date"/>
            <w:bookmarkEnd w:id="3"/>
            <w:r w:rsidR="006A0200">
              <w:rPr>
                <w:rFonts w:ascii="Arial" w:hAnsi="Arial"/>
                <w:sz w:val="23"/>
                <w:lang w:val="lv-LV"/>
              </w:rPr>
              <w:t>2016. gada 12. oktobrī</w:t>
            </w:r>
          </w:p>
          <w:p w:rsidR="00FB16BD" w:rsidRPr="00AA777F" w:rsidRDefault="002008A0" w:rsidP="00B112C8">
            <w:pPr>
              <w:pStyle w:val="EntRefer"/>
              <w:rPr>
                <w:rFonts w:ascii="Arial" w:hAnsi="Arial"/>
                <w:sz w:val="23"/>
                <w:lang w:val="lv-LV"/>
              </w:rPr>
            </w:pPr>
            <w:bookmarkStart w:id="4" w:name="LangueOrig"/>
            <w:bookmarkEnd w:id="4"/>
            <w:r w:rsidRPr="00AA777F">
              <w:rPr>
                <w:rFonts w:ascii="Arial" w:hAnsi="Arial"/>
                <w:sz w:val="23"/>
                <w:lang w:val="lv-LV"/>
              </w:rPr>
              <w:t xml:space="preserve">(OR. </w:t>
            </w:r>
            <w:proofErr w:type="spellStart"/>
            <w:r w:rsidRPr="00AA777F">
              <w:rPr>
                <w:rFonts w:ascii="Arial" w:hAnsi="Arial"/>
                <w:sz w:val="23"/>
                <w:lang w:val="lv-LV"/>
              </w:rPr>
              <w:t>en</w:t>
            </w:r>
            <w:proofErr w:type="spellEnd"/>
            <w:r w:rsidRPr="00AA777F">
              <w:rPr>
                <w:rFonts w:ascii="Arial" w:hAnsi="Arial"/>
                <w:sz w:val="23"/>
                <w:lang w:val="lv-LV"/>
              </w:rPr>
              <w:t>)</w:t>
            </w:r>
          </w:p>
        </w:tc>
      </w:tr>
      <w:tr w:rsidR="00AA3A04" w:rsidRPr="006A0200" w:rsidTr="0075359F">
        <w:tblPrEx>
          <w:tblLook w:val="0000" w:firstRow="0" w:lastRow="0" w:firstColumn="0" w:lastColumn="0" w:noHBand="0" w:noVBand="0"/>
        </w:tblPrEx>
        <w:trPr>
          <w:cantSplit/>
          <w:trHeight w:val="252"/>
        </w:trPr>
        <w:tc>
          <w:tcPr>
            <w:tcW w:w="3969" w:type="dxa"/>
            <w:gridSpan w:val="2"/>
          </w:tcPr>
          <w:p w:rsidR="00AA3A04" w:rsidRPr="00AA777F" w:rsidRDefault="00AA3A04" w:rsidP="00B112C8">
            <w:pPr>
              <w:pStyle w:val="EntRefer"/>
              <w:jc w:val="right"/>
              <w:rPr>
                <w:rFonts w:ascii="Arial" w:hAnsi="Arial"/>
                <w:color w:val="001718"/>
                <w:sz w:val="23"/>
                <w:lang w:val="lv-LV"/>
              </w:rPr>
            </w:pPr>
          </w:p>
        </w:tc>
        <w:tc>
          <w:tcPr>
            <w:tcW w:w="1704" w:type="dxa"/>
            <w:gridSpan w:val="2"/>
          </w:tcPr>
          <w:p w:rsidR="00AA3A04" w:rsidRPr="00AA777F" w:rsidRDefault="00AA3A04" w:rsidP="00B112C8">
            <w:pPr>
              <w:pStyle w:val="EntRefer"/>
              <w:rPr>
                <w:rFonts w:ascii="Arial" w:hAnsi="Arial"/>
                <w:sz w:val="23"/>
                <w:lang w:val="lv-LV"/>
              </w:rPr>
            </w:pPr>
          </w:p>
        </w:tc>
        <w:tc>
          <w:tcPr>
            <w:tcW w:w="3972" w:type="dxa"/>
          </w:tcPr>
          <w:p w:rsidR="00AA3A04" w:rsidRPr="00AA777F" w:rsidRDefault="00AA3A04" w:rsidP="00B112C8">
            <w:pPr>
              <w:pStyle w:val="EntRefer"/>
              <w:rPr>
                <w:rFonts w:ascii="Arial" w:hAnsi="Arial"/>
                <w:sz w:val="23"/>
                <w:lang w:val="lv-LV"/>
              </w:rPr>
            </w:pPr>
            <w:r w:rsidRPr="00AA777F">
              <w:rPr>
                <w:rFonts w:ascii="Arial" w:hAnsi="Arial"/>
                <w:sz w:val="23"/>
                <w:lang w:val="lv-LV"/>
              </w:rPr>
              <w:t xml:space="preserve"> </w:t>
            </w:r>
          </w:p>
        </w:tc>
      </w:tr>
      <w:tr w:rsidR="00AA3A04" w:rsidRPr="006A0200" w:rsidTr="0075359F">
        <w:tblPrEx>
          <w:tblLook w:val="0000" w:firstRow="0" w:lastRow="0" w:firstColumn="0" w:lastColumn="0" w:noHBand="0" w:noVBand="0"/>
        </w:tblPrEx>
        <w:trPr>
          <w:cantSplit/>
          <w:trHeight w:val="1480"/>
        </w:trPr>
        <w:tc>
          <w:tcPr>
            <w:tcW w:w="3969" w:type="dxa"/>
            <w:gridSpan w:val="2"/>
            <w:vAlign w:val="center"/>
          </w:tcPr>
          <w:p w:rsidR="002008A0" w:rsidRPr="00AA777F"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5" w:name="DossierInterInst"/>
            <w:bookmarkEnd w:id="5"/>
            <w:r w:rsidRPr="00AA777F">
              <w:rPr>
                <w:rFonts w:ascii="Arial" w:hAnsi="Arial"/>
                <w:sz w:val="23"/>
                <w:lang w:val="lv-LV"/>
              </w:rPr>
              <w:t>Starpiestāžu lieta</w:t>
            </w:r>
            <w:r w:rsidR="002008A0" w:rsidRPr="00AA777F">
              <w:rPr>
                <w:rFonts w:ascii="Arial" w:hAnsi="Arial"/>
                <w:sz w:val="23"/>
                <w:lang w:val="lv-LV"/>
              </w:rPr>
              <w:t>:</w:t>
            </w:r>
          </w:p>
          <w:p w:rsidR="00AA3A04" w:rsidRPr="00AA777F"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AA777F">
              <w:rPr>
                <w:rFonts w:ascii="Arial" w:hAnsi="Arial"/>
                <w:sz w:val="23"/>
                <w:lang w:val="lv-LV"/>
              </w:rPr>
              <w:t>2016/0091 (NLE)</w:t>
            </w:r>
          </w:p>
        </w:tc>
        <w:tc>
          <w:tcPr>
            <w:tcW w:w="1704" w:type="dxa"/>
            <w:gridSpan w:val="2"/>
            <w:vAlign w:val="center"/>
          </w:tcPr>
          <w:p w:rsidR="00AA3A04" w:rsidRPr="00AA777F" w:rsidRDefault="00AA3A04" w:rsidP="00B112C8">
            <w:pPr>
              <w:spacing w:line="240" w:lineRule="auto"/>
              <w:rPr>
                <w:rFonts w:ascii="Arial" w:hAnsi="Arial"/>
                <w:b/>
                <w:sz w:val="23"/>
                <w:lang w:val="lv-LV"/>
              </w:rPr>
            </w:pPr>
          </w:p>
        </w:tc>
        <w:tc>
          <w:tcPr>
            <w:tcW w:w="3972" w:type="dxa"/>
          </w:tcPr>
          <w:p w:rsidR="00AA3A04" w:rsidRPr="00AA777F" w:rsidRDefault="002008A0" w:rsidP="00B112C8">
            <w:pPr>
              <w:pStyle w:val="EntRefer"/>
              <w:rPr>
                <w:rFonts w:ascii="Arial" w:hAnsi="Arial"/>
                <w:sz w:val="23"/>
                <w:lang w:val="lv-LV"/>
              </w:rPr>
            </w:pPr>
            <w:bookmarkStart w:id="6" w:name="Cote"/>
            <w:bookmarkEnd w:id="6"/>
            <w:r w:rsidRPr="00AA777F">
              <w:rPr>
                <w:rFonts w:ascii="Arial" w:hAnsi="Arial"/>
                <w:sz w:val="23"/>
                <w:lang w:val="lv-LV"/>
              </w:rPr>
              <w:t>7621/16</w:t>
            </w:r>
          </w:p>
          <w:p w:rsidR="00AA3A04" w:rsidRPr="00AA777F" w:rsidRDefault="002008A0" w:rsidP="001B3F10">
            <w:pPr>
              <w:pStyle w:val="EntRefer"/>
              <w:rPr>
                <w:rFonts w:ascii="Arial" w:hAnsi="Arial"/>
                <w:sz w:val="23"/>
                <w:lang w:val="lv-LV"/>
              </w:rPr>
            </w:pPr>
            <w:bookmarkStart w:id="7" w:name="CoteRev"/>
            <w:bookmarkEnd w:id="7"/>
            <w:r w:rsidRPr="00AA777F">
              <w:rPr>
                <w:rFonts w:ascii="Arial" w:hAnsi="Arial"/>
                <w:sz w:val="23"/>
                <w:lang w:val="lv-LV"/>
              </w:rPr>
              <w:t xml:space="preserve">ADD </w:t>
            </w:r>
            <w:r w:rsidR="001B3F10" w:rsidRPr="00AA777F">
              <w:rPr>
                <w:rFonts w:ascii="Arial" w:hAnsi="Arial"/>
                <w:sz w:val="23"/>
                <w:lang w:val="lv-LV"/>
              </w:rPr>
              <w:t>7</w:t>
            </w:r>
          </w:p>
          <w:p w:rsidR="00AA3A04" w:rsidRPr="00AA777F" w:rsidRDefault="00AA3A04" w:rsidP="00B112C8">
            <w:pPr>
              <w:pStyle w:val="EntRefer"/>
              <w:rPr>
                <w:rFonts w:ascii="Arial" w:hAnsi="Arial"/>
                <w:sz w:val="23"/>
                <w:lang w:val="lv-LV"/>
              </w:rPr>
            </w:pPr>
          </w:p>
          <w:p w:rsidR="00AA3A04" w:rsidRPr="00AA777F" w:rsidRDefault="00AA3A04" w:rsidP="00B112C8">
            <w:pPr>
              <w:pStyle w:val="EntRefer"/>
              <w:rPr>
                <w:rFonts w:ascii="Arial" w:hAnsi="Arial"/>
                <w:sz w:val="23"/>
                <w:lang w:val="lv-LV"/>
              </w:rPr>
            </w:pPr>
            <w:bookmarkStart w:id="8" w:name="CoteSec"/>
            <w:bookmarkEnd w:id="8"/>
          </w:p>
          <w:p w:rsidR="00AA3A04" w:rsidRPr="00AA777F" w:rsidRDefault="00AA3A04" w:rsidP="00B112C8">
            <w:pPr>
              <w:pStyle w:val="EntRefer"/>
              <w:rPr>
                <w:rFonts w:ascii="Arial" w:hAnsi="Arial"/>
                <w:sz w:val="23"/>
                <w:lang w:val="lv-LV"/>
              </w:rPr>
            </w:pPr>
          </w:p>
        </w:tc>
      </w:tr>
      <w:tr w:rsidR="00AA3A04" w:rsidRPr="006A0200" w:rsidTr="0075359F">
        <w:tblPrEx>
          <w:tblLook w:val="0000" w:firstRow="0" w:lastRow="0" w:firstColumn="0" w:lastColumn="0" w:noHBand="0" w:noVBand="0"/>
        </w:tblPrEx>
        <w:trPr>
          <w:cantSplit/>
          <w:trHeight w:val="1000"/>
        </w:trPr>
        <w:tc>
          <w:tcPr>
            <w:tcW w:w="3969" w:type="dxa"/>
            <w:gridSpan w:val="2"/>
            <w:vAlign w:val="center"/>
          </w:tcPr>
          <w:p w:rsidR="00AA3A04" w:rsidRPr="00AA777F" w:rsidRDefault="00AA3A04" w:rsidP="00B112C8">
            <w:pPr>
              <w:pStyle w:val="EntRefer"/>
              <w:jc w:val="center"/>
              <w:rPr>
                <w:rFonts w:ascii="Arial" w:hAnsi="Arial"/>
                <w:sz w:val="23"/>
                <w:lang w:val="lv-LV"/>
              </w:rPr>
            </w:pPr>
            <w:bookmarkStart w:id="9" w:name="SousEmbargo"/>
            <w:bookmarkEnd w:id="9"/>
          </w:p>
        </w:tc>
        <w:tc>
          <w:tcPr>
            <w:tcW w:w="1704" w:type="dxa"/>
            <w:gridSpan w:val="2"/>
            <w:vAlign w:val="center"/>
          </w:tcPr>
          <w:p w:rsidR="00AA3A04" w:rsidRPr="00AA777F" w:rsidRDefault="00AA3A04" w:rsidP="00B112C8">
            <w:pPr>
              <w:spacing w:line="240" w:lineRule="auto"/>
              <w:rPr>
                <w:rFonts w:ascii="Arial" w:hAnsi="Arial"/>
                <w:b/>
                <w:sz w:val="23"/>
                <w:lang w:val="lv-LV"/>
              </w:rPr>
            </w:pPr>
          </w:p>
        </w:tc>
        <w:tc>
          <w:tcPr>
            <w:tcW w:w="3972" w:type="dxa"/>
          </w:tcPr>
          <w:p w:rsidR="00710AC3" w:rsidRPr="00AA777F" w:rsidRDefault="00710AC3" w:rsidP="00710AC3">
            <w:pPr>
              <w:spacing w:line="240" w:lineRule="auto"/>
              <w:rPr>
                <w:rFonts w:ascii="Arial" w:hAnsi="Arial"/>
                <w:b/>
                <w:sz w:val="23"/>
                <w:lang w:val="lv-LV"/>
              </w:rPr>
            </w:pPr>
            <w:bookmarkStart w:id="10" w:name="CoteMat"/>
            <w:bookmarkEnd w:id="10"/>
            <w:r w:rsidRPr="00AA777F">
              <w:rPr>
                <w:rFonts w:ascii="Arial" w:hAnsi="Arial"/>
                <w:b/>
                <w:sz w:val="23"/>
                <w:lang w:val="lv-LV"/>
              </w:rPr>
              <w:t>WTO 84</w:t>
            </w:r>
          </w:p>
          <w:p w:rsidR="00710AC3" w:rsidRPr="00AA777F" w:rsidRDefault="00710AC3" w:rsidP="00710AC3">
            <w:pPr>
              <w:spacing w:line="240" w:lineRule="auto"/>
              <w:rPr>
                <w:rFonts w:ascii="Arial" w:hAnsi="Arial"/>
                <w:b/>
                <w:sz w:val="23"/>
                <w:lang w:val="lv-LV"/>
              </w:rPr>
            </w:pPr>
            <w:r w:rsidRPr="00AA777F">
              <w:rPr>
                <w:rFonts w:ascii="Arial" w:hAnsi="Arial"/>
                <w:b/>
                <w:sz w:val="23"/>
                <w:lang w:val="lv-LV"/>
              </w:rPr>
              <w:t>SERVICES 9</w:t>
            </w:r>
          </w:p>
          <w:p w:rsidR="00AA3A04" w:rsidRPr="00AA777F" w:rsidRDefault="00710AC3" w:rsidP="00710AC3">
            <w:pPr>
              <w:pStyle w:val="EntRefer"/>
              <w:rPr>
                <w:rFonts w:ascii="Arial" w:hAnsi="Arial"/>
                <w:sz w:val="23"/>
                <w:lang w:val="lv-LV"/>
              </w:rPr>
            </w:pPr>
            <w:r w:rsidRPr="00AA777F">
              <w:rPr>
                <w:rFonts w:ascii="Arial" w:hAnsi="Arial"/>
                <w:sz w:val="23"/>
                <w:lang w:val="lv-LV"/>
              </w:rPr>
              <w:t>COLAC 23</w:t>
            </w:r>
          </w:p>
        </w:tc>
      </w:tr>
    </w:tbl>
    <w:p w:rsidR="002B28C5" w:rsidRPr="00AA777F" w:rsidRDefault="002B28C5">
      <w:pPr>
        <w:pStyle w:val="EntRefer"/>
        <w:rPr>
          <w:rFonts w:ascii="Arial" w:hAnsi="Arial" w:cs="Arial"/>
          <w:sz w:val="23"/>
          <w:szCs w:val="23"/>
          <w:lang w:val="lv-LV"/>
        </w:rPr>
      </w:pPr>
      <w:bookmarkStart w:id="11" w:name="AC"/>
    </w:p>
    <w:p w:rsidR="002008A0" w:rsidRPr="00AA777F" w:rsidRDefault="002008A0">
      <w:pPr>
        <w:pStyle w:val="EntRefer"/>
        <w:rPr>
          <w:rFonts w:ascii="Arial" w:hAnsi="Arial" w:cs="Arial"/>
          <w:sz w:val="23"/>
          <w:szCs w:val="23"/>
          <w:lang w:val="lv-LV"/>
        </w:rPr>
      </w:pPr>
    </w:p>
    <w:p w:rsidR="002008A0" w:rsidRPr="00AA777F" w:rsidRDefault="002008A0">
      <w:pPr>
        <w:pStyle w:val="EntRefer"/>
        <w:rPr>
          <w:rFonts w:ascii="Arial" w:hAnsi="Arial" w:cs="Arial"/>
          <w:sz w:val="23"/>
          <w:szCs w:val="23"/>
          <w:lang w:val="lv-LV"/>
        </w:rPr>
      </w:pPr>
    </w:p>
    <w:p w:rsidR="002008A0" w:rsidRPr="00AA777F" w:rsidRDefault="002008A0">
      <w:pPr>
        <w:pStyle w:val="EntRefer"/>
        <w:rPr>
          <w:rFonts w:ascii="Arial" w:hAnsi="Arial" w:cs="Arial"/>
          <w:sz w:val="23"/>
          <w:szCs w:val="23"/>
          <w:lang w:val="lv-LV"/>
        </w:rPr>
      </w:pPr>
    </w:p>
    <w:p w:rsidR="002008A0" w:rsidRPr="00AA777F" w:rsidRDefault="002008A0">
      <w:pPr>
        <w:pStyle w:val="EntRefer"/>
        <w:rPr>
          <w:rFonts w:ascii="Arial" w:hAnsi="Arial" w:cs="Arial"/>
          <w:sz w:val="23"/>
          <w:szCs w:val="23"/>
          <w:lang w:val="lv-LV"/>
        </w:rPr>
      </w:pPr>
    </w:p>
    <w:p w:rsidR="002008A0" w:rsidRPr="00AA777F" w:rsidRDefault="002008A0">
      <w:pPr>
        <w:pStyle w:val="EntRefer"/>
        <w:rPr>
          <w:rFonts w:ascii="Arial" w:hAnsi="Arial" w:cs="Arial"/>
          <w:sz w:val="23"/>
          <w:szCs w:val="23"/>
          <w:lang w:val="lv-LV"/>
        </w:rPr>
      </w:pPr>
    </w:p>
    <w:p w:rsidR="002B28C5" w:rsidRPr="00AA777F" w:rsidRDefault="005F0EC3">
      <w:pPr>
        <w:pStyle w:val="EntRefer"/>
        <w:rPr>
          <w:rFonts w:ascii="Arial" w:hAnsi="Arial" w:cs="Arial"/>
          <w:sz w:val="23"/>
          <w:szCs w:val="23"/>
          <w:lang w:val="lv-LV"/>
        </w:rPr>
      </w:pPr>
      <w:bookmarkStart w:id="12" w:name="Title"/>
      <w:bookmarkEnd w:id="12"/>
      <w:r w:rsidRPr="00AA777F">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38112F">
        <w:tc>
          <w:tcPr>
            <w:tcW w:w="1701" w:type="dxa"/>
            <w:tcBorders>
              <w:top w:val="single" w:sz="4" w:space="0" w:color="auto"/>
              <w:bottom w:val="single" w:sz="4" w:space="0" w:color="auto"/>
            </w:tcBorders>
          </w:tcPr>
          <w:p w:rsidR="002B28C5" w:rsidRPr="00AA777F" w:rsidRDefault="005F0EC3">
            <w:pPr>
              <w:pStyle w:val="EntEmet"/>
              <w:rPr>
                <w:rFonts w:ascii="Arial" w:hAnsi="Arial" w:cs="Arial"/>
                <w:sz w:val="23"/>
                <w:szCs w:val="23"/>
                <w:lang w:val="lv-LV"/>
              </w:rPr>
            </w:pPr>
            <w:r w:rsidRPr="00AA777F">
              <w:rPr>
                <w:rFonts w:ascii="Arial" w:hAnsi="Arial" w:cs="Arial"/>
                <w:sz w:val="23"/>
                <w:szCs w:val="23"/>
                <w:lang w:val="lv-LV"/>
              </w:rPr>
              <w:t>Temats</w:t>
            </w:r>
            <w:r w:rsidR="002B28C5" w:rsidRPr="00AA777F">
              <w:rPr>
                <w:rFonts w:ascii="Arial" w:hAnsi="Arial" w:cs="Arial"/>
                <w:sz w:val="23"/>
                <w:szCs w:val="23"/>
                <w:lang w:val="lv-LV"/>
              </w:rPr>
              <w:t>:</w:t>
            </w:r>
          </w:p>
        </w:tc>
        <w:tc>
          <w:tcPr>
            <w:tcW w:w="7938" w:type="dxa"/>
            <w:tcBorders>
              <w:top w:val="single" w:sz="4" w:space="0" w:color="auto"/>
              <w:bottom w:val="single" w:sz="4" w:space="0" w:color="auto"/>
            </w:tcBorders>
          </w:tcPr>
          <w:p w:rsidR="002B28C5" w:rsidRPr="00AA777F" w:rsidRDefault="00B25101">
            <w:pPr>
              <w:pStyle w:val="EntEmet"/>
              <w:rPr>
                <w:rFonts w:ascii="Arial" w:hAnsi="Arial" w:cs="Arial"/>
                <w:sz w:val="23"/>
                <w:szCs w:val="23"/>
                <w:lang w:val="lv-LV"/>
              </w:rPr>
            </w:pPr>
            <w:bookmarkStart w:id="13" w:name="Subject"/>
            <w:bookmarkEnd w:id="13"/>
            <w:r w:rsidRPr="00AA777F">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AA777F" w:rsidRDefault="002B28C5">
      <w:pPr>
        <w:spacing w:line="240" w:lineRule="auto"/>
        <w:rPr>
          <w:rFonts w:ascii="Arial" w:hAnsi="Arial" w:cs="Arial"/>
          <w:sz w:val="23"/>
          <w:szCs w:val="23"/>
          <w:lang w:val="lv-LV"/>
        </w:rPr>
      </w:pPr>
    </w:p>
    <w:p w:rsidR="002B28C5" w:rsidRPr="00AA777F" w:rsidRDefault="002B28C5">
      <w:pPr>
        <w:tabs>
          <w:tab w:val="left" w:pos="3969"/>
        </w:tabs>
        <w:rPr>
          <w:rFonts w:ascii="Arial" w:hAnsi="Arial" w:cs="Arial"/>
          <w:sz w:val="23"/>
          <w:szCs w:val="23"/>
          <w:lang w:val="lv-LV"/>
        </w:rPr>
      </w:pPr>
    </w:p>
    <w:bookmarkEnd w:id="11"/>
    <w:p w:rsidR="002B28C5" w:rsidRPr="00AA777F" w:rsidRDefault="002B28C5">
      <w:pPr>
        <w:rPr>
          <w:szCs w:val="24"/>
          <w:lang w:val="lv-LV"/>
        </w:rPr>
      </w:pPr>
    </w:p>
    <w:p w:rsidR="002B28C5" w:rsidRPr="00AA777F" w:rsidRDefault="002B28C5" w:rsidP="002008A0">
      <w:pPr>
        <w:rPr>
          <w:rFonts w:ascii="Arial" w:hAnsi="Arial" w:cs="Arial"/>
          <w:sz w:val="23"/>
          <w:szCs w:val="23"/>
          <w:lang w:val="lv-LV"/>
        </w:rPr>
      </w:pPr>
    </w:p>
    <w:p w:rsidR="002008A0" w:rsidRPr="00AA777F" w:rsidRDefault="002008A0">
      <w:pPr>
        <w:spacing w:line="240" w:lineRule="auto"/>
        <w:rPr>
          <w:rFonts w:ascii="Arial" w:hAnsi="Arial" w:cs="Arial"/>
          <w:sz w:val="23"/>
          <w:szCs w:val="23"/>
          <w:lang w:val="lv-LV"/>
        </w:rPr>
        <w:sectPr w:rsidR="002008A0" w:rsidRPr="00AA777F"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1B3F10" w:rsidRPr="00AA777F" w:rsidRDefault="001B3F10" w:rsidP="006A0200">
      <w:pPr>
        <w:jc w:val="right"/>
        <w:rPr>
          <w:b/>
          <w:bCs/>
          <w:noProof/>
          <w:u w:val="single"/>
          <w:lang w:val="lv-LV"/>
        </w:rPr>
      </w:pPr>
      <w:r w:rsidRPr="00AA777F">
        <w:rPr>
          <w:b/>
          <w:bCs/>
          <w:noProof/>
          <w:u w:val="single"/>
          <w:lang w:val="lv-LV"/>
        </w:rPr>
        <w:lastRenderedPageBreak/>
        <w:t>IV PIELIKUMS</w:t>
      </w:r>
    </w:p>
    <w:p w:rsidR="001B3F10" w:rsidRDefault="001B3F10" w:rsidP="001B3F10">
      <w:pPr>
        <w:rPr>
          <w:noProof/>
          <w:lang w:val="lv-LV"/>
        </w:rPr>
      </w:pPr>
    </w:p>
    <w:p w:rsidR="006A0200" w:rsidRPr="00AA777F" w:rsidRDefault="006A0200" w:rsidP="001B3F10">
      <w:pPr>
        <w:rPr>
          <w:noProof/>
          <w:lang w:val="lv-LV"/>
        </w:rPr>
      </w:pPr>
    </w:p>
    <w:p w:rsidR="001B3F10" w:rsidRPr="00AA777F" w:rsidRDefault="001B3F10" w:rsidP="001B3F10">
      <w:pPr>
        <w:jc w:val="center"/>
        <w:rPr>
          <w:noProof/>
          <w:lang w:val="lv-LV"/>
        </w:rPr>
      </w:pPr>
      <w:r w:rsidRPr="00AA777F">
        <w:rPr>
          <w:noProof/>
          <w:lang w:val="lv-LV"/>
        </w:rPr>
        <w:t>"D IEDAĻA</w:t>
      </w:r>
    </w:p>
    <w:p w:rsidR="001B3F10" w:rsidRPr="00AA777F" w:rsidRDefault="001B3F10" w:rsidP="001B3F10">
      <w:pPr>
        <w:jc w:val="center"/>
        <w:rPr>
          <w:noProof/>
          <w:lang w:val="lv-LV"/>
        </w:rPr>
      </w:pPr>
    </w:p>
    <w:p w:rsidR="00AA777F" w:rsidRDefault="001B3F10" w:rsidP="001B3F10">
      <w:pPr>
        <w:jc w:val="center"/>
        <w:rPr>
          <w:lang w:val="lv-LV"/>
        </w:rPr>
      </w:pPr>
      <w:r w:rsidRPr="00AA777F">
        <w:rPr>
          <w:lang w:val="lv-LV"/>
        </w:rPr>
        <w:t xml:space="preserve">EKVADORAS TARIFU ATCELŠANAS GRAFIKS </w:t>
      </w:r>
    </w:p>
    <w:p w:rsidR="001B3F10" w:rsidRPr="00AA777F" w:rsidRDefault="001B3F10" w:rsidP="001B3F10">
      <w:pPr>
        <w:jc w:val="center"/>
        <w:rPr>
          <w:lang w:val="lv-LV"/>
        </w:rPr>
      </w:pPr>
      <w:r w:rsidRPr="00AA777F">
        <w:rPr>
          <w:lang w:val="lv-LV"/>
        </w:rPr>
        <w:t>EIROPAS SAVIENĪBAS IZCELSMES PRECĒM</w:t>
      </w:r>
    </w:p>
    <w:p w:rsidR="001B3F10" w:rsidRPr="00AA777F" w:rsidRDefault="001B3F10" w:rsidP="001B3F10">
      <w:pPr>
        <w:rPr>
          <w:b/>
          <w:noProof/>
          <w:lang w:val="lv-LV"/>
        </w:rPr>
      </w:pPr>
    </w:p>
    <w:p w:rsidR="001B3F10" w:rsidRPr="00AA777F" w:rsidRDefault="001B3F10" w:rsidP="00E23936">
      <w:pPr>
        <w:rPr>
          <w:noProof/>
          <w:lang w:val="lv-LV"/>
        </w:rPr>
      </w:pPr>
      <w:r w:rsidRPr="00AA777F">
        <w:rPr>
          <w:noProof/>
          <w:lang w:val="lv-LV"/>
        </w:rPr>
        <w:t xml:space="preserve">Ja vien Ekvadoras tarifu atcelšanas grafikā nav </w:t>
      </w:r>
      <w:r w:rsidR="00E23936">
        <w:rPr>
          <w:noProof/>
          <w:lang w:val="lv-LV"/>
        </w:rPr>
        <w:t>paredzēts</w:t>
      </w:r>
      <w:r w:rsidRPr="00AA777F">
        <w:rPr>
          <w:noProof/>
          <w:lang w:val="lv-LV"/>
        </w:rPr>
        <w:t xml:space="preserve"> citādi, turpmāk izklāstītās atcelšanas kategorijas piemēro saskaņā ar šā nolīguma III sadaļas (Preču tirdzniecība) 22. pantu (Muitas nodokļu atcelšana).</w:t>
      </w:r>
    </w:p>
    <w:p w:rsidR="001B3F10" w:rsidRPr="00AA777F" w:rsidRDefault="001B3F10" w:rsidP="001B3F10">
      <w:pPr>
        <w:rPr>
          <w:noProof/>
          <w:lang w:val="lv-LV"/>
        </w:rPr>
      </w:pPr>
    </w:p>
    <w:p w:rsidR="001B3F10" w:rsidRPr="00AA777F" w:rsidRDefault="001B3F10" w:rsidP="001B3F10">
      <w:pPr>
        <w:ind w:left="567" w:hanging="567"/>
        <w:rPr>
          <w:noProof/>
          <w:lang w:val="lv-LV"/>
        </w:rPr>
      </w:pPr>
      <w:r w:rsidRPr="00AA777F">
        <w:rPr>
          <w:noProof/>
          <w:lang w:val="lv-LV"/>
        </w:rPr>
        <w:t>1.</w:t>
      </w:r>
      <w:r w:rsidRPr="00AA777F">
        <w:rPr>
          <w:noProof/>
          <w:lang w:val="lv-LV"/>
        </w:rPr>
        <w:tab/>
        <w:t>Muitas nodokļus Eiropas Savienības izcelsmes precēm (turpmāk “noteiktas izcelsmes preces”) "0" atcelšanas kategorijas tarifu pozīcijās pilnībā atceļ no šā nolīguma spēkā stāšanās dienas.</w:t>
      </w:r>
    </w:p>
    <w:p w:rsidR="001B3F10" w:rsidRPr="00AA777F" w:rsidRDefault="001B3F10" w:rsidP="001B3F10">
      <w:pPr>
        <w:ind w:left="567" w:hanging="567"/>
        <w:rPr>
          <w:noProof/>
          <w:lang w:val="lv-LV"/>
        </w:rPr>
      </w:pPr>
    </w:p>
    <w:p w:rsidR="001B3F10" w:rsidRPr="00AA777F" w:rsidRDefault="001B3F10" w:rsidP="00E23936">
      <w:pPr>
        <w:ind w:left="567" w:hanging="567"/>
        <w:rPr>
          <w:noProof/>
          <w:lang w:val="lv-LV"/>
        </w:rPr>
      </w:pPr>
      <w:r w:rsidRPr="00AA777F">
        <w:rPr>
          <w:noProof/>
          <w:lang w:val="lv-LV"/>
        </w:rPr>
        <w:t>2.</w:t>
      </w:r>
      <w:r w:rsidRPr="00AA777F">
        <w:rPr>
          <w:noProof/>
          <w:lang w:val="lv-LV"/>
        </w:rPr>
        <w:tab/>
        <w:t>Muitas nodokļus noteiktas izcelsmes precēm "3" atcelšanas kategorijas tarifu pozīcijās atceļ četros vienādos posmos, sākot no šā nolīguma spēkā stāšanās dienas; atlikušos posmus uzsāk turpmāko gadu 1. janvārī, un pēc tam šīs preces ir atbrīvotas no jebkād</w:t>
      </w:r>
      <w:r w:rsidR="00E23936">
        <w:rPr>
          <w:noProof/>
          <w:lang w:val="lv-LV"/>
        </w:rPr>
        <w:t>a</w:t>
      </w:r>
      <w:r w:rsidRPr="00AA777F">
        <w:rPr>
          <w:noProof/>
          <w:lang w:val="lv-LV"/>
        </w:rPr>
        <w:t xml:space="preserve"> muitas nodokļ</w:t>
      </w:r>
      <w:r w:rsidR="00E23936">
        <w:rPr>
          <w:noProof/>
          <w:lang w:val="lv-LV"/>
        </w:rPr>
        <w:t>a</w:t>
      </w:r>
      <w:r w:rsidRPr="00AA777F">
        <w:rPr>
          <w:noProof/>
          <w:lang w:val="lv-LV"/>
        </w:rPr>
        <w:t>.</w:t>
      </w:r>
    </w:p>
    <w:p w:rsidR="001B3F10" w:rsidRPr="00AA777F" w:rsidRDefault="001B3F10" w:rsidP="001B3F10">
      <w:pPr>
        <w:ind w:left="567" w:hanging="567"/>
        <w:rPr>
          <w:noProof/>
          <w:lang w:val="lv-LV"/>
        </w:rPr>
      </w:pPr>
    </w:p>
    <w:p w:rsidR="001B3F10" w:rsidRPr="00AA777F" w:rsidRDefault="001B3F10" w:rsidP="00E23936">
      <w:pPr>
        <w:ind w:left="567" w:hanging="567"/>
        <w:rPr>
          <w:noProof/>
          <w:lang w:val="lv-LV"/>
        </w:rPr>
      </w:pPr>
      <w:r w:rsidRPr="00AA777F">
        <w:rPr>
          <w:noProof/>
          <w:lang w:val="lv-LV"/>
        </w:rPr>
        <w:t>3.</w:t>
      </w:r>
      <w:r w:rsidRPr="00AA777F">
        <w:rPr>
          <w:noProof/>
          <w:lang w:val="lv-LV"/>
        </w:rPr>
        <w:tab/>
        <w:t>Muitas nodokļus noteiktas izcelsmes precēm "5" atcelšanas kategorijas tarifu pozīcijās atceļ sešos vienādos posmos, sākot no šā nolīguma spēkā stāšanās dienas; atlikušos posmus uzsāk turpmāko gadu 1. janvārī, un pēc tam šīs preces ir atbrīvotas no jebkād</w:t>
      </w:r>
      <w:r w:rsidR="00E23936">
        <w:rPr>
          <w:noProof/>
          <w:lang w:val="lv-LV"/>
        </w:rPr>
        <w:t>a</w:t>
      </w:r>
      <w:r w:rsidRPr="00AA777F">
        <w:rPr>
          <w:noProof/>
          <w:lang w:val="lv-LV"/>
        </w:rPr>
        <w:t xml:space="preserve"> muitas nodokļ</w:t>
      </w:r>
      <w:r w:rsidR="00E23936">
        <w:rPr>
          <w:noProof/>
          <w:lang w:val="lv-LV"/>
        </w:rPr>
        <w:t>a</w:t>
      </w:r>
      <w:r w:rsidRPr="00AA777F">
        <w:rPr>
          <w:noProof/>
          <w:lang w:val="lv-LV"/>
        </w:rPr>
        <w:t>.</w:t>
      </w:r>
    </w:p>
    <w:p w:rsidR="001B3F10" w:rsidRPr="00AA777F" w:rsidRDefault="001B3F10" w:rsidP="001B3F10">
      <w:pPr>
        <w:ind w:left="567" w:hanging="567"/>
        <w:rPr>
          <w:noProof/>
          <w:lang w:val="lv-LV"/>
        </w:rPr>
      </w:pPr>
    </w:p>
    <w:p w:rsidR="00AA777F" w:rsidRDefault="00AA777F">
      <w:pPr>
        <w:widowControl/>
        <w:spacing w:line="240" w:lineRule="auto"/>
        <w:rPr>
          <w:noProof/>
          <w:lang w:val="lv-LV"/>
        </w:rPr>
      </w:pPr>
      <w:r>
        <w:rPr>
          <w:noProof/>
          <w:lang w:val="lv-LV"/>
        </w:rPr>
        <w:br w:type="page"/>
      </w:r>
    </w:p>
    <w:p w:rsidR="001B3F10" w:rsidRPr="00AA777F" w:rsidRDefault="001B3F10" w:rsidP="00E23936">
      <w:pPr>
        <w:ind w:left="567" w:hanging="567"/>
        <w:rPr>
          <w:noProof/>
          <w:lang w:val="lv-LV"/>
        </w:rPr>
      </w:pPr>
      <w:r w:rsidRPr="00AA777F">
        <w:rPr>
          <w:noProof/>
          <w:lang w:val="lv-LV"/>
        </w:rPr>
        <w:lastRenderedPageBreak/>
        <w:t>4.</w:t>
      </w:r>
      <w:r w:rsidRPr="00AA777F">
        <w:rPr>
          <w:noProof/>
          <w:lang w:val="lv-LV"/>
        </w:rPr>
        <w:tab/>
        <w:t>Muitas nodokļus noteiktas izcelsmes precēm "7" atcelšanas kategorijas tarifu pozīcijās atceļ astoņos vienādos posmos, sākot no šā nolīguma spēkā stāšanās dienas; atlikušos posmus uzsāk turpmāko gadu 1. janvārī, un pēc tam šīs preces ir atbrīvotas no jebkād</w:t>
      </w:r>
      <w:r w:rsidR="00E23936">
        <w:rPr>
          <w:noProof/>
          <w:lang w:val="lv-LV"/>
        </w:rPr>
        <w:t>a</w:t>
      </w:r>
      <w:r w:rsidRPr="00AA777F">
        <w:rPr>
          <w:noProof/>
          <w:lang w:val="lv-LV"/>
        </w:rPr>
        <w:t xml:space="preserve"> muitas nodokļ</w:t>
      </w:r>
      <w:r w:rsidR="00E23936">
        <w:rPr>
          <w:noProof/>
          <w:lang w:val="lv-LV"/>
        </w:rPr>
        <w:t>a</w:t>
      </w:r>
      <w:r w:rsidRPr="00AA777F">
        <w:rPr>
          <w:noProof/>
          <w:lang w:val="lv-LV"/>
        </w:rPr>
        <w:t>.</w:t>
      </w:r>
    </w:p>
    <w:p w:rsidR="001B3F10" w:rsidRPr="00AA777F" w:rsidRDefault="001B3F10" w:rsidP="001B3F10">
      <w:pPr>
        <w:ind w:left="567" w:hanging="567"/>
        <w:rPr>
          <w:noProof/>
          <w:lang w:val="lv-LV"/>
        </w:rPr>
      </w:pPr>
    </w:p>
    <w:p w:rsidR="001B3F10" w:rsidRPr="00AA777F" w:rsidRDefault="001B3F10" w:rsidP="00E23936">
      <w:pPr>
        <w:ind w:left="567" w:hanging="567"/>
        <w:rPr>
          <w:noProof/>
          <w:lang w:val="lv-LV"/>
        </w:rPr>
      </w:pPr>
      <w:r w:rsidRPr="00AA777F">
        <w:rPr>
          <w:noProof/>
          <w:lang w:val="lv-LV"/>
        </w:rPr>
        <w:t>5.</w:t>
      </w:r>
      <w:r w:rsidRPr="00AA777F">
        <w:rPr>
          <w:noProof/>
          <w:lang w:val="lv-LV"/>
        </w:rPr>
        <w:tab/>
        <w:t>Muitas nodokļus noteiktas izcelsmes precēm "10" atcelšanas kategorijas tarifu pozīcijās atceļ vienpadsmit vienādos posmos, sākot no šā nolīguma spēkā stāšanās dienas; atlikušos posmus uzsāk turpmāko gadu 1. janvārī, un pēc tam šīs preces ir atbrīvotas no jebkād</w:t>
      </w:r>
      <w:r w:rsidR="00E23936">
        <w:rPr>
          <w:noProof/>
          <w:lang w:val="lv-LV"/>
        </w:rPr>
        <w:t>a</w:t>
      </w:r>
      <w:r w:rsidRPr="00AA777F">
        <w:rPr>
          <w:noProof/>
          <w:lang w:val="lv-LV"/>
        </w:rPr>
        <w:t xml:space="preserve"> muitas nodokļ</w:t>
      </w:r>
      <w:r w:rsidR="00E23936">
        <w:rPr>
          <w:noProof/>
          <w:lang w:val="lv-LV"/>
        </w:rPr>
        <w:t>a</w:t>
      </w:r>
      <w:r w:rsidRPr="00AA777F">
        <w:rPr>
          <w:noProof/>
          <w:lang w:val="lv-LV"/>
        </w:rPr>
        <w:t>.</w:t>
      </w:r>
    </w:p>
    <w:p w:rsidR="001B3F10" w:rsidRPr="00AA777F" w:rsidRDefault="001B3F10" w:rsidP="001B3F10">
      <w:pPr>
        <w:ind w:left="567" w:hanging="567"/>
        <w:rPr>
          <w:noProof/>
          <w:lang w:val="lv-LV"/>
        </w:rPr>
      </w:pPr>
    </w:p>
    <w:p w:rsidR="001B3F10" w:rsidRPr="00AA777F" w:rsidRDefault="001B3F10" w:rsidP="00E23936">
      <w:pPr>
        <w:ind w:left="567" w:hanging="567"/>
        <w:rPr>
          <w:noProof/>
          <w:lang w:val="lv-LV"/>
        </w:rPr>
      </w:pPr>
      <w:r w:rsidRPr="00AA777F">
        <w:rPr>
          <w:noProof/>
          <w:lang w:val="lv-LV"/>
        </w:rPr>
        <w:t>6.</w:t>
      </w:r>
      <w:r w:rsidRPr="00AA777F">
        <w:rPr>
          <w:noProof/>
          <w:lang w:val="lv-LV"/>
        </w:rPr>
        <w:tab/>
        <w:t>Muitas nodokļus noteiktas izcelsmes precēm "15" atcelšanas kategorijas tarifu pozīcijās atceļ sešpadsmit vienādos posmos, sākot no šā nolīguma spēkā stāšanās dienas; atlikušos posmus uzsāk turpmāko gadu 1. janvārī, un pēc tam šīs preces ir atbrīvotas no jebkād</w:t>
      </w:r>
      <w:r w:rsidR="00E23936">
        <w:rPr>
          <w:noProof/>
          <w:lang w:val="lv-LV"/>
        </w:rPr>
        <w:t>a</w:t>
      </w:r>
      <w:r w:rsidRPr="00AA777F">
        <w:rPr>
          <w:noProof/>
          <w:lang w:val="lv-LV"/>
        </w:rPr>
        <w:t xml:space="preserve"> muitas nodokļ</w:t>
      </w:r>
      <w:r w:rsidR="00E23936">
        <w:rPr>
          <w:noProof/>
          <w:lang w:val="lv-LV"/>
        </w:rPr>
        <w:t>a</w:t>
      </w:r>
      <w:r w:rsidRPr="00AA777F">
        <w:rPr>
          <w:noProof/>
          <w:lang w:val="lv-LV"/>
        </w:rPr>
        <w:t>.</w:t>
      </w:r>
    </w:p>
    <w:p w:rsidR="001B3F10" w:rsidRPr="00AA777F" w:rsidRDefault="001B3F10" w:rsidP="001B3F10">
      <w:pPr>
        <w:ind w:left="567" w:hanging="567"/>
        <w:rPr>
          <w:noProof/>
          <w:lang w:val="lv-LV"/>
        </w:rPr>
      </w:pPr>
    </w:p>
    <w:p w:rsidR="001B3F10" w:rsidRPr="00AA777F" w:rsidRDefault="001B3F10" w:rsidP="001B3F10">
      <w:pPr>
        <w:ind w:left="567" w:hanging="567"/>
        <w:rPr>
          <w:noProof/>
          <w:lang w:val="lv-LV"/>
        </w:rPr>
      </w:pPr>
      <w:r w:rsidRPr="00AA777F">
        <w:rPr>
          <w:noProof/>
          <w:lang w:val="lv-LV"/>
        </w:rPr>
        <w:t>7.</w:t>
      </w:r>
      <w:r w:rsidRPr="00AA777F">
        <w:rPr>
          <w:noProof/>
          <w:lang w:val="lv-LV"/>
        </w:rPr>
        <w:tab/>
        <w:t>Noteiktas izcelsmes preces "E" atcelšanas kategorijā atbrīvo no visām saistībām saistībā ar muitas nodokļiem.</w:t>
      </w:r>
    </w:p>
    <w:p w:rsidR="001B3F10" w:rsidRPr="00AA777F" w:rsidRDefault="001B3F10" w:rsidP="001B3F10">
      <w:pPr>
        <w:ind w:left="567" w:hanging="567"/>
        <w:rPr>
          <w:noProof/>
          <w:lang w:val="lv-LV"/>
        </w:rPr>
      </w:pPr>
    </w:p>
    <w:p w:rsidR="001B3F10" w:rsidRPr="00AA777F" w:rsidRDefault="001B3F10" w:rsidP="00E23936">
      <w:pPr>
        <w:ind w:left="567" w:hanging="567"/>
        <w:rPr>
          <w:noProof/>
          <w:lang w:val="lv-LV"/>
        </w:rPr>
      </w:pPr>
      <w:r w:rsidRPr="00AA777F">
        <w:rPr>
          <w:noProof/>
          <w:lang w:val="lv-LV"/>
        </w:rPr>
        <w:t>8.</w:t>
      </w:r>
      <w:r w:rsidRPr="00AA777F">
        <w:rPr>
          <w:noProof/>
          <w:lang w:val="lv-LV"/>
        </w:rPr>
        <w:tab/>
        <w:t>Pakāpeniski atceļ muitas nodokļus noteiktas izcelsmes precēm, uz kurām attiecas cenu stabilizācijas mehānisms (turpmāk "</w:t>
      </w:r>
      <w:r w:rsidRPr="00AA777F">
        <w:rPr>
          <w:i/>
          <w:noProof/>
          <w:lang w:val="lv-LV"/>
        </w:rPr>
        <w:t>MEP"</w:t>
      </w:r>
      <w:r w:rsidRPr="00AA777F">
        <w:rPr>
          <w:noProof/>
          <w:lang w:val="lv-LV"/>
        </w:rPr>
        <w:t>) un kuras ir "IB" atcelšanas kategorijas tarifu pozīcijās. Tarifu atcelšanas nolūkos pamatlikme ir mazākais no šādiem rādītājiem - pamatlikme tarifu atcelšanas grafikā vai piemērotais lielākās labvēlības (turpmāk "</w:t>
      </w:r>
      <w:r w:rsidRPr="00AA777F">
        <w:rPr>
          <w:i/>
          <w:noProof/>
          <w:lang w:val="lv-LV"/>
        </w:rPr>
        <w:t>MFN</w:t>
      </w:r>
      <w:r w:rsidRPr="00AA777F">
        <w:rPr>
          <w:noProof/>
          <w:lang w:val="lv-LV"/>
        </w:rPr>
        <w:t>") nodoklis. Atcelšana notiek četros vienādos posmos, sākot no šā nolīguma spēkā stāšanās dienas; atlikušos posmus uzsāk turpmāko gadu 1. janvārī, un pēc tam šīs preces ir atbrīvotas no jebkād</w:t>
      </w:r>
      <w:r w:rsidR="00E23936">
        <w:rPr>
          <w:noProof/>
          <w:lang w:val="lv-LV"/>
        </w:rPr>
        <w:t>a</w:t>
      </w:r>
      <w:r w:rsidRPr="00AA777F">
        <w:rPr>
          <w:noProof/>
          <w:lang w:val="lv-LV"/>
        </w:rPr>
        <w:t xml:space="preserve"> muitas nodokļ</w:t>
      </w:r>
      <w:r w:rsidR="00E23936">
        <w:rPr>
          <w:noProof/>
          <w:lang w:val="lv-LV"/>
        </w:rPr>
        <w:t>a</w:t>
      </w:r>
      <w:r w:rsidRPr="00AA777F">
        <w:rPr>
          <w:noProof/>
          <w:lang w:val="lv-LV"/>
        </w:rPr>
        <w:t>.</w:t>
      </w:r>
    </w:p>
    <w:p w:rsidR="001B3F10" w:rsidRPr="00AA777F" w:rsidRDefault="001B3F10" w:rsidP="001B3F10">
      <w:pPr>
        <w:ind w:left="567" w:hanging="567"/>
        <w:rPr>
          <w:noProof/>
          <w:lang w:val="lv-LV"/>
        </w:rPr>
      </w:pPr>
    </w:p>
    <w:p w:rsidR="00AA777F" w:rsidRDefault="00AA777F">
      <w:pPr>
        <w:widowControl/>
        <w:spacing w:line="240" w:lineRule="auto"/>
        <w:rPr>
          <w:noProof/>
          <w:lang w:val="lv-LV"/>
        </w:rPr>
      </w:pPr>
      <w:r>
        <w:rPr>
          <w:noProof/>
          <w:lang w:val="lv-LV"/>
        </w:rPr>
        <w:br w:type="page"/>
      </w:r>
    </w:p>
    <w:p w:rsidR="001B3F10" w:rsidRPr="00AA777F" w:rsidRDefault="001B3F10" w:rsidP="00E23936">
      <w:pPr>
        <w:ind w:left="567" w:hanging="567"/>
        <w:rPr>
          <w:noProof/>
          <w:lang w:val="lv-LV"/>
        </w:rPr>
      </w:pPr>
      <w:r w:rsidRPr="00AA777F">
        <w:rPr>
          <w:noProof/>
          <w:lang w:val="lv-LV"/>
        </w:rPr>
        <w:lastRenderedPageBreak/>
        <w:t>9.</w:t>
      </w:r>
      <w:r w:rsidRPr="00AA777F">
        <w:rPr>
          <w:noProof/>
          <w:lang w:val="lv-LV"/>
        </w:rPr>
        <w:tab/>
        <w:t xml:space="preserve">Pakāpeniski atceļ muitas nodokļus noteiktas izcelsmes precēm, uz kurām attiecas </w:t>
      </w:r>
      <w:r w:rsidRPr="00AA777F">
        <w:rPr>
          <w:i/>
          <w:noProof/>
          <w:lang w:val="lv-LV"/>
        </w:rPr>
        <w:t>MEP</w:t>
      </w:r>
      <w:r w:rsidRPr="00AA777F">
        <w:rPr>
          <w:noProof/>
          <w:lang w:val="lv-LV"/>
        </w:rPr>
        <w:t xml:space="preserve"> un kuras ir "IC" atcelšanas kategorijas tarifu pozīcijās. Tarifu atcelšanas nolūkos pamatlikme ir mazākais no šādiem rādītājiem - pamatlikme tarifu atcelšanas grafikā vai piemērotais </w:t>
      </w:r>
      <w:r w:rsidRPr="00AA777F">
        <w:rPr>
          <w:i/>
          <w:noProof/>
          <w:lang w:val="lv-LV"/>
        </w:rPr>
        <w:t>MFN</w:t>
      </w:r>
      <w:r w:rsidRPr="00AA777F">
        <w:rPr>
          <w:noProof/>
          <w:lang w:val="lv-LV"/>
        </w:rPr>
        <w:t xml:space="preserve"> nodoklis. Atcelšana notiek sešos vienādos posmos, sākot no šā nolīguma spēkā stāšanās dienas; atlikušos posmus uzsāk turpmāko gadu 1. janvārī, un pēc tam šīs preces ir atbrīvotas no jebkād</w:t>
      </w:r>
      <w:r w:rsidR="00E23936">
        <w:rPr>
          <w:noProof/>
          <w:lang w:val="lv-LV"/>
        </w:rPr>
        <w:t>a</w:t>
      </w:r>
      <w:r w:rsidRPr="00AA777F">
        <w:rPr>
          <w:noProof/>
          <w:lang w:val="lv-LV"/>
        </w:rPr>
        <w:t xml:space="preserve"> muitas nodokļ</w:t>
      </w:r>
      <w:r w:rsidR="00E23936">
        <w:rPr>
          <w:noProof/>
          <w:lang w:val="lv-LV"/>
        </w:rPr>
        <w:t>a</w:t>
      </w:r>
      <w:r w:rsidRPr="00AA777F">
        <w:rPr>
          <w:noProof/>
          <w:lang w:val="lv-LV"/>
        </w:rPr>
        <w:t>.</w:t>
      </w:r>
    </w:p>
    <w:p w:rsidR="001B3F10" w:rsidRPr="00AA777F" w:rsidRDefault="001B3F10" w:rsidP="001B3F10">
      <w:pPr>
        <w:ind w:left="567" w:hanging="567"/>
        <w:rPr>
          <w:noProof/>
          <w:lang w:val="lv-LV"/>
        </w:rPr>
      </w:pPr>
    </w:p>
    <w:p w:rsidR="001B3F10" w:rsidRPr="00AA777F" w:rsidRDefault="001B3F10" w:rsidP="00E23936">
      <w:pPr>
        <w:ind w:left="567" w:hanging="567"/>
        <w:rPr>
          <w:noProof/>
          <w:lang w:val="lv-LV"/>
        </w:rPr>
      </w:pPr>
      <w:r w:rsidRPr="00AA777F">
        <w:rPr>
          <w:noProof/>
          <w:lang w:val="lv-LV"/>
        </w:rPr>
        <w:t>10.</w:t>
      </w:r>
      <w:r w:rsidRPr="00AA777F">
        <w:rPr>
          <w:noProof/>
          <w:lang w:val="lv-LV"/>
        </w:rPr>
        <w:tab/>
        <w:t xml:space="preserve">Pakāpeniski atceļ muitas nodokļus noteiktas izcelsmes precēm, uz kurām attiecas </w:t>
      </w:r>
      <w:r w:rsidRPr="00AA777F">
        <w:rPr>
          <w:i/>
          <w:noProof/>
          <w:lang w:val="lv-LV"/>
        </w:rPr>
        <w:t>MEP</w:t>
      </w:r>
      <w:r w:rsidRPr="00AA777F">
        <w:rPr>
          <w:noProof/>
          <w:lang w:val="lv-LV"/>
        </w:rPr>
        <w:t xml:space="preserve"> un kuras ir "ID" atcelšanas kategorijas tarifu pozīcijās. Tarifu atcelšanas nolūkos pamatlikme ir mazākais no šādiem rādītājiem - pamatlikme tarifu atcelšanas grafikā vai piemērotais </w:t>
      </w:r>
      <w:r w:rsidRPr="00AA777F">
        <w:rPr>
          <w:i/>
          <w:noProof/>
          <w:lang w:val="lv-LV"/>
        </w:rPr>
        <w:t>MFN</w:t>
      </w:r>
      <w:r w:rsidRPr="00AA777F">
        <w:rPr>
          <w:noProof/>
          <w:lang w:val="lv-LV"/>
        </w:rPr>
        <w:t xml:space="preserve"> nodoklis. Atcelšana notiek astoņos vienādos posmos, sākot no šā nolīguma spēkā stāšanās dienas; atlikušos posmus uzsāk turpmāko gadu 1. janvārī, un pēc tam šīs preces ir atbrīvotas no jebkād</w:t>
      </w:r>
      <w:r w:rsidR="00E23936">
        <w:rPr>
          <w:noProof/>
          <w:lang w:val="lv-LV"/>
        </w:rPr>
        <w:t>a</w:t>
      </w:r>
      <w:r w:rsidRPr="00AA777F">
        <w:rPr>
          <w:noProof/>
          <w:lang w:val="lv-LV"/>
        </w:rPr>
        <w:t xml:space="preserve"> muitas nodokļ</w:t>
      </w:r>
      <w:r w:rsidR="00E23936">
        <w:rPr>
          <w:noProof/>
          <w:lang w:val="lv-LV"/>
        </w:rPr>
        <w:t>a</w:t>
      </w:r>
      <w:r w:rsidRPr="00AA777F">
        <w:rPr>
          <w:noProof/>
          <w:lang w:val="lv-LV"/>
        </w:rPr>
        <w:t>.</w:t>
      </w:r>
    </w:p>
    <w:p w:rsidR="001B3F10" w:rsidRPr="00AA777F" w:rsidRDefault="001B3F10" w:rsidP="001B3F10">
      <w:pPr>
        <w:ind w:left="567" w:hanging="567"/>
        <w:rPr>
          <w:noProof/>
          <w:lang w:val="lv-LV"/>
        </w:rPr>
      </w:pPr>
    </w:p>
    <w:p w:rsidR="001B3F10" w:rsidRPr="00AA777F" w:rsidRDefault="001B3F10" w:rsidP="00E23936">
      <w:pPr>
        <w:ind w:left="567" w:hanging="567"/>
        <w:rPr>
          <w:noProof/>
          <w:lang w:val="lv-LV"/>
        </w:rPr>
      </w:pPr>
      <w:r w:rsidRPr="00AA777F">
        <w:rPr>
          <w:noProof/>
          <w:lang w:val="lv-LV"/>
        </w:rPr>
        <w:t>11.</w:t>
      </w:r>
      <w:r w:rsidRPr="00AA777F">
        <w:rPr>
          <w:noProof/>
          <w:lang w:val="lv-LV"/>
        </w:rPr>
        <w:tab/>
        <w:t xml:space="preserve">Pakāpeniski atceļ muitas nodokļus noteiktas izcelsmes precēm, uz kurām attiecas </w:t>
      </w:r>
      <w:r w:rsidRPr="00AA777F">
        <w:rPr>
          <w:i/>
          <w:noProof/>
          <w:lang w:val="lv-LV"/>
        </w:rPr>
        <w:t>MEP</w:t>
      </w:r>
      <w:r w:rsidRPr="00AA777F">
        <w:rPr>
          <w:noProof/>
          <w:lang w:val="lv-LV"/>
        </w:rPr>
        <w:t xml:space="preserve"> un kuras ir "IE" atcelšanas kategorijas tarifu pozīcijās. Tarifu atcelšanas nolūkos pamatlikme ir mazākais no šādiem rādītājiem - pamatlikme tarifu atcelšanas grafikā vai piemērotais </w:t>
      </w:r>
      <w:r w:rsidRPr="00AA777F">
        <w:rPr>
          <w:i/>
          <w:noProof/>
          <w:lang w:val="lv-LV"/>
        </w:rPr>
        <w:t>MFN</w:t>
      </w:r>
      <w:r w:rsidRPr="00AA777F">
        <w:rPr>
          <w:noProof/>
          <w:lang w:val="lv-LV"/>
        </w:rPr>
        <w:t xml:space="preserve"> nodoklis. Atcelšana notiek vienpadsmit vienādos posmos, sākot no šā nolīguma spēkā stāšanās dienas; atlikušos posmus uzsāk turpmāko gadu 1. janvārī, un pēc tam šīs preces ir atbrīvotas no jebkād</w:t>
      </w:r>
      <w:r w:rsidR="00E23936">
        <w:rPr>
          <w:noProof/>
          <w:lang w:val="lv-LV"/>
        </w:rPr>
        <w:t>a</w:t>
      </w:r>
      <w:r w:rsidRPr="00AA777F">
        <w:rPr>
          <w:noProof/>
          <w:lang w:val="lv-LV"/>
        </w:rPr>
        <w:t xml:space="preserve"> muitas nodokļ</w:t>
      </w:r>
      <w:r w:rsidR="00E23936">
        <w:rPr>
          <w:noProof/>
          <w:lang w:val="lv-LV"/>
        </w:rPr>
        <w:t>a</w:t>
      </w:r>
      <w:r w:rsidRPr="00AA777F">
        <w:rPr>
          <w:noProof/>
          <w:lang w:val="lv-LV"/>
        </w:rPr>
        <w:t>.</w:t>
      </w:r>
    </w:p>
    <w:p w:rsidR="001B3F10" w:rsidRPr="00AA777F" w:rsidRDefault="001B3F10" w:rsidP="001B3F10">
      <w:pPr>
        <w:ind w:left="567" w:hanging="567"/>
        <w:rPr>
          <w:noProof/>
          <w:lang w:val="lv-LV"/>
        </w:rPr>
      </w:pPr>
    </w:p>
    <w:p w:rsidR="001B3F10" w:rsidRPr="00AA777F" w:rsidRDefault="001B3F10" w:rsidP="001B3F10">
      <w:pPr>
        <w:ind w:left="567" w:hanging="567"/>
        <w:rPr>
          <w:noProof/>
          <w:lang w:val="lv-LV"/>
        </w:rPr>
      </w:pPr>
      <w:r w:rsidRPr="00AA777F">
        <w:rPr>
          <w:noProof/>
          <w:lang w:val="lv-LV"/>
        </w:rPr>
        <w:t>12.</w:t>
      </w:r>
      <w:r w:rsidRPr="00AA777F">
        <w:rPr>
          <w:noProof/>
          <w:lang w:val="lv-LV"/>
        </w:rPr>
        <w:tab/>
      </w:r>
      <w:r w:rsidRPr="00AA777F">
        <w:rPr>
          <w:i/>
          <w:noProof/>
          <w:lang w:val="lv-LV"/>
        </w:rPr>
        <w:t>MEP</w:t>
      </w:r>
      <w:r w:rsidRPr="00AA777F">
        <w:rPr>
          <w:noProof/>
          <w:lang w:val="lv-LV"/>
        </w:rPr>
        <w:t xml:space="preserve"> fiksēto komponenti (15 %) noteiktas izcelsmes precēm “IF” atcelšanas kategorijā atceļ no šā nolīguma spēkā stāšanās dienas.</w:t>
      </w:r>
    </w:p>
    <w:p w:rsidR="001B3F10" w:rsidRPr="00AA777F" w:rsidRDefault="001B3F10" w:rsidP="001B3F10">
      <w:pPr>
        <w:ind w:left="567" w:hanging="567"/>
        <w:rPr>
          <w:noProof/>
          <w:lang w:val="lv-LV"/>
        </w:rPr>
      </w:pPr>
    </w:p>
    <w:p w:rsidR="00AA777F" w:rsidRDefault="00AA777F">
      <w:pPr>
        <w:widowControl/>
        <w:spacing w:line="240" w:lineRule="auto"/>
        <w:rPr>
          <w:noProof/>
          <w:lang w:val="lv-LV"/>
        </w:rPr>
      </w:pPr>
      <w:r>
        <w:rPr>
          <w:noProof/>
          <w:lang w:val="lv-LV"/>
        </w:rPr>
        <w:br w:type="page"/>
      </w:r>
    </w:p>
    <w:p w:rsidR="001B3F10" w:rsidRPr="00AA777F" w:rsidRDefault="001B3F10" w:rsidP="001B3F10">
      <w:pPr>
        <w:ind w:left="567" w:hanging="567"/>
        <w:rPr>
          <w:noProof/>
          <w:lang w:val="lv-LV"/>
        </w:rPr>
      </w:pPr>
      <w:r w:rsidRPr="00AA777F">
        <w:rPr>
          <w:noProof/>
          <w:lang w:val="lv-LV"/>
        </w:rPr>
        <w:lastRenderedPageBreak/>
        <w:t>13.</w:t>
      </w:r>
      <w:r w:rsidRPr="00AA777F">
        <w:rPr>
          <w:noProof/>
          <w:lang w:val="lv-LV"/>
        </w:rPr>
        <w:tab/>
      </w:r>
      <w:r w:rsidRPr="00AA777F">
        <w:rPr>
          <w:i/>
          <w:noProof/>
          <w:lang w:val="lv-LV"/>
        </w:rPr>
        <w:t>MEP</w:t>
      </w:r>
      <w:r w:rsidRPr="00AA777F">
        <w:rPr>
          <w:noProof/>
          <w:lang w:val="lv-LV"/>
        </w:rPr>
        <w:t xml:space="preserve"> fiksēto komponenti (20 %) noteiktas izcelsmes precēm “IG” atcelšanas kategorijā atceļ no šā nolīguma spēkā stāšanās dienas.</w:t>
      </w:r>
    </w:p>
    <w:p w:rsidR="001B3F10" w:rsidRPr="00AA777F" w:rsidRDefault="001B3F10" w:rsidP="001B3F10">
      <w:pPr>
        <w:ind w:left="567" w:hanging="567"/>
        <w:rPr>
          <w:noProof/>
          <w:lang w:val="lv-LV"/>
        </w:rPr>
      </w:pPr>
    </w:p>
    <w:p w:rsidR="001B3F10" w:rsidRPr="00AA777F" w:rsidRDefault="001B3F10" w:rsidP="001B3F10">
      <w:pPr>
        <w:ind w:left="567" w:hanging="567"/>
        <w:rPr>
          <w:noProof/>
          <w:lang w:val="lv-LV"/>
        </w:rPr>
      </w:pPr>
      <w:r w:rsidRPr="00AA777F">
        <w:rPr>
          <w:noProof/>
          <w:lang w:val="lv-LV"/>
        </w:rPr>
        <w:t>14.</w:t>
      </w:r>
      <w:r w:rsidRPr="00AA777F">
        <w:rPr>
          <w:noProof/>
          <w:lang w:val="lv-LV"/>
        </w:rPr>
        <w:tab/>
      </w:r>
      <w:r w:rsidRPr="00AA777F">
        <w:rPr>
          <w:i/>
          <w:noProof/>
          <w:lang w:val="lv-LV"/>
        </w:rPr>
        <w:t>MEP</w:t>
      </w:r>
      <w:r w:rsidRPr="00AA777F">
        <w:rPr>
          <w:noProof/>
          <w:lang w:val="lv-LV"/>
        </w:rPr>
        <w:t xml:space="preserve"> fiksēto komponenti (15 %) noteiktas izcelsmes precēm "IH" atcelšanas kategorijā atceļ sešos vienādos posmos, sākot no šā nolīguma spēkā stāšanās dienas; atlikušos posmus uzsāk turpmāko gadu 1. janvārī.</w:t>
      </w:r>
    </w:p>
    <w:p w:rsidR="001B3F10" w:rsidRPr="00AA777F" w:rsidRDefault="001B3F10" w:rsidP="001B3F10">
      <w:pPr>
        <w:ind w:left="567" w:hanging="567"/>
        <w:rPr>
          <w:noProof/>
          <w:lang w:val="lv-LV"/>
        </w:rPr>
      </w:pPr>
    </w:p>
    <w:p w:rsidR="001B3F10" w:rsidRPr="00AA777F" w:rsidRDefault="001B3F10" w:rsidP="001B3F10">
      <w:pPr>
        <w:ind w:left="567" w:hanging="567"/>
        <w:rPr>
          <w:noProof/>
          <w:lang w:val="lv-LV"/>
        </w:rPr>
      </w:pPr>
      <w:r w:rsidRPr="00AA777F">
        <w:rPr>
          <w:noProof/>
          <w:lang w:val="lv-LV"/>
        </w:rPr>
        <w:t>15.</w:t>
      </w:r>
      <w:r w:rsidRPr="00AA777F">
        <w:rPr>
          <w:noProof/>
          <w:lang w:val="lv-LV"/>
        </w:rPr>
        <w:tab/>
      </w:r>
      <w:r w:rsidRPr="00AA777F">
        <w:rPr>
          <w:i/>
          <w:noProof/>
          <w:lang w:val="lv-LV"/>
        </w:rPr>
        <w:t>MEP</w:t>
      </w:r>
      <w:r w:rsidRPr="00AA777F">
        <w:rPr>
          <w:noProof/>
          <w:lang w:val="lv-LV"/>
        </w:rPr>
        <w:t xml:space="preserve"> fiksēto komponenti (20 %) noteiktas izcelsmes precēm "II" atcelšanas kategorijā atceļ astoņos vienādos posmos, sākot no šā nolīguma spēkā stāšanās dienas; atlikušos posmus uzsāk turpmāko gadu 1. janvārī.</w:t>
      </w:r>
    </w:p>
    <w:p w:rsidR="001B3F10" w:rsidRPr="00AA777F" w:rsidRDefault="001B3F10" w:rsidP="001B3F10">
      <w:pPr>
        <w:ind w:left="567" w:hanging="567"/>
        <w:rPr>
          <w:noProof/>
          <w:lang w:val="lv-LV"/>
        </w:rPr>
      </w:pPr>
    </w:p>
    <w:p w:rsidR="001B3F10" w:rsidRPr="00AA777F" w:rsidRDefault="001B3F10" w:rsidP="001B3F10">
      <w:pPr>
        <w:ind w:left="567" w:hanging="567"/>
        <w:rPr>
          <w:noProof/>
          <w:lang w:val="lv-LV"/>
        </w:rPr>
      </w:pPr>
      <w:r w:rsidRPr="00AA777F">
        <w:rPr>
          <w:noProof/>
          <w:lang w:val="lv-LV"/>
        </w:rPr>
        <w:t>16.</w:t>
      </w:r>
      <w:r w:rsidRPr="00AA777F">
        <w:rPr>
          <w:noProof/>
          <w:lang w:val="lv-LV"/>
        </w:rPr>
        <w:tab/>
      </w:r>
      <w:r w:rsidRPr="00AA777F">
        <w:rPr>
          <w:i/>
          <w:noProof/>
          <w:lang w:val="lv-LV"/>
        </w:rPr>
        <w:t>MEP</w:t>
      </w:r>
      <w:r w:rsidRPr="00AA777F">
        <w:rPr>
          <w:noProof/>
          <w:lang w:val="lv-LV"/>
        </w:rPr>
        <w:t xml:space="preserve"> fiksēto komponenti (15 %) noteiktas izcelsmes precēm "IJ" atcelšanas kategorijā atceļ vienpadsmit vienādos posmos, sākot no šā nolīguma spēkā stāšanās dienas; atlikušos posmus uzsāk turpmāko gadu 1. janvārī.</w:t>
      </w:r>
    </w:p>
    <w:p w:rsidR="001B3F10" w:rsidRPr="00AA777F" w:rsidRDefault="001B3F10" w:rsidP="001B3F10">
      <w:pPr>
        <w:ind w:left="567" w:hanging="567"/>
        <w:rPr>
          <w:noProof/>
          <w:lang w:val="lv-LV"/>
        </w:rPr>
      </w:pPr>
    </w:p>
    <w:p w:rsidR="001B3F10" w:rsidRPr="00AA777F" w:rsidRDefault="001B3F10" w:rsidP="001B3F10">
      <w:pPr>
        <w:ind w:left="567" w:hanging="567"/>
        <w:rPr>
          <w:noProof/>
          <w:lang w:val="lv-LV"/>
        </w:rPr>
      </w:pPr>
      <w:r w:rsidRPr="00AA777F">
        <w:rPr>
          <w:noProof/>
          <w:lang w:val="lv-LV"/>
        </w:rPr>
        <w:t>17.</w:t>
      </w:r>
      <w:r w:rsidRPr="00AA777F">
        <w:rPr>
          <w:noProof/>
          <w:lang w:val="lv-LV"/>
        </w:rPr>
        <w:tab/>
      </w:r>
      <w:r w:rsidRPr="00AA777F">
        <w:rPr>
          <w:i/>
          <w:noProof/>
          <w:lang w:val="lv-LV"/>
        </w:rPr>
        <w:t>MEP</w:t>
      </w:r>
      <w:r w:rsidRPr="00AA777F">
        <w:rPr>
          <w:noProof/>
          <w:lang w:val="lv-LV"/>
        </w:rPr>
        <w:t xml:space="preserve"> fiksēto komponenti (20 %) noteiktas izcelsmes precēm "IK" atcelšanas kategorijā atceļ vienpadsmit vienādos posmos, sākot no šā nolīguma spēkā stāšanās dienas; atlikušos posmus uzsāk turpmāko gadu 1. janvārī.</w:t>
      </w:r>
    </w:p>
    <w:p w:rsidR="001B3F10" w:rsidRPr="00AA777F" w:rsidRDefault="001B3F10" w:rsidP="001B3F10">
      <w:pPr>
        <w:ind w:left="567" w:hanging="567"/>
        <w:rPr>
          <w:noProof/>
          <w:lang w:val="lv-LV"/>
        </w:rPr>
      </w:pPr>
    </w:p>
    <w:p w:rsidR="001B3F10" w:rsidRPr="00AA777F" w:rsidRDefault="001B3F10" w:rsidP="00E23936">
      <w:pPr>
        <w:ind w:left="567" w:hanging="567"/>
        <w:rPr>
          <w:noProof/>
          <w:lang w:val="lv-LV"/>
        </w:rPr>
      </w:pPr>
      <w:r w:rsidRPr="00AA777F">
        <w:rPr>
          <w:noProof/>
          <w:lang w:val="lv-LV"/>
        </w:rPr>
        <w:t>18.</w:t>
      </w:r>
      <w:r w:rsidRPr="00AA777F">
        <w:rPr>
          <w:noProof/>
          <w:lang w:val="lv-LV"/>
        </w:rPr>
        <w:tab/>
        <w:t xml:space="preserve">Uz muitas nodokļiem noteiktas izcelsmes precēm "B" atcelšanas kategorijā tarifu atcelšana neattiecas; </w:t>
      </w:r>
      <w:r w:rsidR="00E23936">
        <w:rPr>
          <w:noProof/>
          <w:lang w:val="lv-LV"/>
        </w:rPr>
        <w:t>neatkarīgi no</w:t>
      </w:r>
      <w:r w:rsidRPr="00AA777F">
        <w:rPr>
          <w:noProof/>
          <w:lang w:val="lv-LV"/>
        </w:rPr>
        <w:t xml:space="preserve"> iepriekš minēt</w:t>
      </w:r>
      <w:r w:rsidR="00E23936">
        <w:rPr>
          <w:noProof/>
          <w:lang w:val="lv-LV"/>
        </w:rPr>
        <w:t>ā</w:t>
      </w:r>
      <w:r w:rsidRPr="00AA777F">
        <w:rPr>
          <w:noProof/>
          <w:lang w:val="lv-LV"/>
        </w:rPr>
        <w:t xml:space="preserve"> no šā nolīguma spēkā stāšanās dienas Ekvadora atceļ </w:t>
      </w:r>
      <w:r w:rsidRPr="00AA777F">
        <w:rPr>
          <w:i/>
          <w:noProof/>
          <w:lang w:val="lv-LV"/>
        </w:rPr>
        <w:t>MEP</w:t>
      </w:r>
      <w:r w:rsidRPr="00AA777F">
        <w:rPr>
          <w:noProof/>
          <w:lang w:val="lv-LV"/>
        </w:rPr>
        <w:t xml:space="preserve"> fiksēto komponenti (15 %) 800 </w:t>
      </w:r>
      <w:r w:rsidR="00E23936">
        <w:rPr>
          <w:noProof/>
          <w:lang w:val="lv-LV"/>
        </w:rPr>
        <w:t xml:space="preserve">metrisko </w:t>
      </w:r>
      <w:r w:rsidRPr="00AA777F">
        <w:rPr>
          <w:noProof/>
          <w:lang w:val="lv-LV"/>
        </w:rPr>
        <w:t xml:space="preserve">tonnu ikgadējās kvotas apmērā, no pirmā gada šo kvotu ik gadu palielinot par 24 </w:t>
      </w:r>
      <w:r w:rsidR="00E23936">
        <w:rPr>
          <w:noProof/>
          <w:lang w:val="lv-LV"/>
        </w:rPr>
        <w:t xml:space="preserve">metriskajām </w:t>
      </w:r>
      <w:r w:rsidRPr="00AA777F">
        <w:rPr>
          <w:noProof/>
          <w:lang w:val="lv-LV"/>
        </w:rPr>
        <w:t>tonnām.</w:t>
      </w:r>
    </w:p>
    <w:p w:rsidR="001B3F10" w:rsidRPr="00AA777F" w:rsidRDefault="001B3F10" w:rsidP="001B3F10">
      <w:pPr>
        <w:ind w:left="567" w:hanging="567"/>
        <w:rPr>
          <w:noProof/>
          <w:lang w:val="lv-LV"/>
        </w:rPr>
      </w:pPr>
    </w:p>
    <w:p w:rsidR="00AA777F" w:rsidRDefault="00AA777F">
      <w:pPr>
        <w:widowControl/>
        <w:spacing w:line="240" w:lineRule="auto"/>
        <w:rPr>
          <w:noProof/>
          <w:lang w:val="lv-LV"/>
        </w:rPr>
      </w:pPr>
      <w:r>
        <w:rPr>
          <w:noProof/>
          <w:lang w:val="lv-LV"/>
        </w:rPr>
        <w:br w:type="page"/>
      </w:r>
    </w:p>
    <w:p w:rsidR="001B3F10" w:rsidRPr="00AA777F" w:rsidRDefault="001B3F10" w:rsidP="00BD38CC">
      <w:pPr>
        <w:ind w:left="567" w:hanging="567"/>
        <w:rPr>
          <w:noProof/>
          <w:lang w:val="lv-LV"/>
        </w:rPr>
      </w:pPr>
      <w:r w:rsidRPr="00AA777F">
        <w:rPr>
          <w:noProof/>
          <w:lang w:val="lv-LV"/>
        </w:rPr>
        <w:lastRenderedPageBreak/>
        <w:t>19.</w:t>
      </w:r>
      <w:r w:rsidRPr="00AA777F">
        <w:rPr>
          <w:noProof/>
          <w:lang w:val="lv-LV"/>
        </w:rPr>
        <w:tab/>
        <w:t>Uz muitas nodokļiem noteiktas izcelsmes precēm "B1" atcelšanas kategorijā tarifu atcelšana neattiecas; ne</w:t>
      </w:r>
      <w:r w:rsidR="00BD38CC">
        <w:rPr>
          <w:noProof/>
          <w:lang w:val="lv-LV"/>
        </w:rPr>
        <w:t>atkarīgi</w:t>
      </w:r>
      <w:r w:rsidRPr="00AA777F">
        <w:rPr>
          <w:noProof/>
          <w:lang w:val="lv-LV"/>
        </w:rPr>
        <w:t xml:space="preserve"> </w:t>
      </w:r>
      <w:r w:rsidR="00BD38CC">
        <w:rPr>
          <w:noProof/>
          <w:lang w:val="lv-LV"/>
        </w:rPr>
        <w:t>no</w:t>
      </w:r>
      <w:r w:rsidRPr="00AA777F">
        <w:rPr>
          <w:noProof/>
          <w:lang w:val="lv-LV"/>
        </w:rPr>
        <w:t xml:space="preserve"> iepriekš minēt</w:t>
      </w:r>
      <w:r w:rsidR="00BD38CC">
        <w:rPr>
          <w:noProof/>
          <w:lang w:val="lv-LV"/>
        </w:rPr>
        <w:t>ā</w:t>
      </w:r>
      <w:r w:rsidRPr="00AA777F">
        <w:rPr>
          <w:noProof/>
          <w:lang w:val="lv-LV"/>
        </w:rPr>
        <w:t xml:space="preserve"> no šā nolīguma spēkā stāšanās dienas Ekvadora nepiemēro ievedmuitas nodokļus precēm 800 </w:t>
      </w:r>
      <w:r w:rsidR="00BD38CC">
        <w:rPr>
          <w:noProof/>
          <w:lang w:val="lv-LV"/>
        </w:rPr>
        <w:t xml:space="preserve">metrisko </w:t>
      </w:r>
      <w:r w:rsidRPr="00AA777F">
        <w:rPr>
          <w:noProof/>
          <w:lang w:val="lv-LV"/>
        </w:rPr>
        <w:t>tonnu ikgadējās kopējās kvotas</w:t>
      </w:r>
      <w:r w:rsidR="00AA777F" w:rsidRPr="00E23936">
        <w:rPr>
          <w:b/>
          <w:bCs/>
          <w:noProof/>
          <w:vertAlign w:val="superscript"/>
          <w:lang w:val="lv-LV"/>
        </w:rPr>
        <w:t>1</w:t>
      </w:r>
      <w:r w:rsidRPr="00AA777F">
        <w:rPr>
          <w:noProof/>
          <w:lang w:val="lv-LV"/>
        </w:rPr>
        <w:t xml:space="preserve"> apmērā, no pirmā gada šo kvotu ik gadu palielinot par 24 </w:t>
      </w:r>
      <w:r w:rsidR="00BD38CC">
        <w:rPr>
          <w:noProof/>
          <w:lang w:val="lv-LV"/>
        </w:rPr>
        <w:t xml:space="preserve">metriskajām </w:t>
      </w:r>
      <w:r w:rsidRPr="00AA777F">
        <w:rPr>
          <w:noProof/>
          <w:lang w:val="lv-LV"/>
        </w:rPr>
        <w:t>tonnām.</w:t>
      </w:r>
    </w:p>
    <w:p w:rsidR="001B3F10" w:rsidRPr="00AA777F" w:rsidRDefault="001B3F10" w:rsidP="001B3F10">
      <w:pPr>
        <w:ind w:left="567" w:hanging="567"/>
        <w:rPr>
          <w:noProof/>
          <w:lang w:val="lv-LV"/>
        </w:rPr>
      </w:pPr>
    </w:p>
    <w:p w:rsidR="001B3F10" w:rsidRPr="00AA777F" w:rsidRDefault="001B3F10" w:rsidP="00BD38CC">
      <w:pPr>
        <w:ind w:left="567" w:hanging="567"/>
        <w:rPr>
          <w:noProof/>
          <w:lang w:val="lv-LV"/>
        </w:rPr>
      </w:pPr>
      <w:r w:rsidRPr="00AA777F">
        <w:rPr>
          <w:noProof/>
          <w:lang w:val="lv-LV"/>
        </w:rPr>
        <w:t>20.</w:t>
      </w:r>
      <w:r w:rsidRPr="00AA777F">
        <w:rPr>
          <w:noProof/>
          <w:lang w:val="lv-LV"/>
        </w:rPr>
        <w:tab/>
        <w:t>Uz muitas nodokļiem noteiktas izcelsmes precēm "D" atcelšanas kategorijā tarifu atcelšana neattiecas; ne</w:t>
      </w:r>
      <w:r w:rsidR="00BD38CC">
        <w:rPr>
          <w:noProof/>
          <w:lang w:val="lv-LV"/>
        </w:rPr>
        <w:t>atkarīgi</w:t>
      </w:r>
      <w:r w:rsidRPr="00AA777F">
        <w:rPr>
          <w:noProof/>
          <w:lang w:val="lv-LV"/>
        </w:rPr>
        <w:t xml:space="preserve"> </w:t>
      </w:r>
      <w:r w:rsidR="00BD38CC">
        <w:rPr>
          <w:noProof/>
          <w:lang w:val="lv-LV"/>
        </w:rPr>
        <w:t>no</w:t>
      </w:r>
      <w:r w:rsidRPr="00AA777F">
        <w:rPr>
          <w:noProof/>
          <w:lang w:val="lv-LV"/>
        </w:rPr>
        <w:t xml:space="preserve"> iepriekš minēt</w:t>
      </w:r>
      <w:r w:rsidR="00BD38CC">
        <w:rPr>
          <w:noProof/>
          <w:lang w:val="lv-LV"/>
        </w:rPr>
        <w:t>ā</w:t>
      </w:r>
      <w:r w:rsidRPr="00AA777F">
        <w:rPr>
          <w:noProof/>
          <w:lang w:val="lv-LV"/>
        </w:rPr>
        <w:t xml:space="preserve"> Ekvadora nepiemēro ievedmuitas nodokļus precēm 500 </w:t>
      </w:r>
      <w:r w:rsidR="00BD38CC">
        <w:rPr>
          <w:noProof/>
          <w:lang w:val="lv-LV"/>
        </w:rPr>
        <w:t xml:space="preserve">metrisko </w:t>
      </w:r>
      <w:r w:rsidRPr="00AA777F">
        <w:rPr>
          <w:noProof/>
          <w:lang w:val="lv-LV"/>
        </w:rPr>
        <w:t>tonnu ikgadējās kopējās kvotas apmērā, no pirmā gada šo kvotu ik gadu palielinot par 15</w:t>
      </w:r>
      <w:r w:rsidR="00AA777F">
        <w:rPr>
          <w:noProof/>
          <w:lang w:val="lv-LV"/>
        </w:rPr>
        <w:t> </w:t>
      </w:r>
      <w:r w:rsidR="00BD38CC">
        <w:rPr>
          <w:noProof/>
          <w:lang w:val="lv-LV"/>
        </w:rPr>
        <w:t xml:space="preserve">metriskajām </w:t>
      </w:r>
      <w:r w:rsidRPr="00AA777F">
        <w:rPr>
          <w:noProof/>
          <w:lang w:val="lv-LV"/>
        </w:rPr>
        <w:t>tonnām.</w:t>
      </w:r>
    </w:p>
    <w:p w:rsidR="001B3F10" w:rsidRPr="00AA777F" w:rsidRDefault="001B3F10" w:rsidP="001B3F10">
      <w:pPr>
        <w:ind w:left="567" w:hanging="567"/>
        <w:rPr>
          <w:noProof/>
          <w:lang w:val="lv-LV"/>
        </w:rPr>
      </w:pPr>
    </w:p>
    <w:p w:rsidR="001B3F10" w:rsidRPr="00AA777F" w:rsidRDefault="001B3F10" w:rsidP="00BD38CC">
      <w:pPr>
        <w:ind w:left="567" w:hanging="567"/>
        <w:rPr>
          <w:noProof/>
          <w:lang w:val="lv-LV"/>
        </w:rPr>
      </w:pPr>
      <w:r w:rsidRPr="00AA777F">
        <w:rPr>
          <w:noProof/>
          <w:lang w:val="lv-LV"/>
        </w:rPr>
        <w:t>21.</w:t>
      </w:r>
      <w:r w:rsidRPr="00AA777F">
        <w:rPr>
          <w:noProof/>
          <w:lang w:val="lv-LV"/>
        </w:rPr>
        <w:tab/>
        <w:t>Uz muitas nodokļiem noteiktas izcelsmes precēm "L1" atcelšanas kategorijā tarifu atcelšana neattiecas; ne</w:t>
      </w:r>
      <w:r w:rsidR="00BD38CC">
        <w:rPr>
          <w:noProof/>
          <w:lang w:val="lv-LV"/>
        </w:rPr>
        <w:t>atkarīgi</w:t>
      </w:r>
      <w:r w:rsidRPr="00AA777F">
        <w:rPr>
          <w:noProof/>
          <w:lang w:val="lv-LV"/>
        </w:rPr>
        <w:t xml:space="preserve"> </w:t>
      </w:r>
      <w:r w:rsidR="00BD38CC">
        <w:rPr>
          <w:noProof/>
          <w:lang w:val="lv-LV"/>
        </w:rPr>
        <w:t>no</w:t>
      </w:r>
      <w:r w:rsidRPr="00AA777F">
        <w:rPr>
          <w:noProof/>
          <w:lang w:val="lv-LV"/>
        </w:rPr>
        <w:t xml:space="preserve"> iepriekš minēt</w:t>
      </w:r>
      <w:r w:rsidR="00BD38CC">
        <w:rPr>
          <w:noProof/>
          <w:lang w:val="lv-LV"/>
        </w:rPr>
        <w:t>ā</w:t>
      </w:r>
      <w:r w:rsidRPr="00AA777F">
        <w:rPr>
          <w:noProof/>
          <w:lang w:val="lv-LV"/>
        </w:rPr>
        <w:t xml:space="preserve"> no šā nolīguma spēkā stāšanās dienas Ekvadora nepiemēro ievedmuitas nodokļus precēm 400 </w:t>
      </w:r>
      <w:r w:rsidR="00BD38CC">
        <w:rPr>
          <w:noProof/>
          <w:lang w:val="lv-LV"/>
        </w:rPr>
        <w:t xml:space="preserve">metrisko </w:t>
      </w:r>
      <w:r w:rsidRPr="00AA777F">
        <w:rPr>
          <w:noProof/>
          <w:lang w:val="lv-LV"/>
        </w:rPr>
        <w:t xml:space="preserve">tonnu ikgadējās kopējās kvotas apmērā, no pirmā gada šo kvotu ik gadu palielinot par 20 </w:t>
      </w:r>
      <w:r w:rsidR="00BD38CC">
        <w:rPr>
          <w:noProof/>
          <w:lang w:val="lv-LV"/>
        </w:rPr>
        <w:t xml:space="preserve">metriskajām </w:t>
      </w:r>
      <w:r w:rsidRPr="00AA777F">
        <w:rPr>
          <w:noProof/>
          <w:lang w:val="lv-LV"/>
        </w:rPr>
        <w:t>tonnām.</w:t>
      </w:r>
    </w:p>
    <w:p w:rsidR="001B3F10" w:rsidRPr="00AA777F" w:rsidRDefault="001B3F10" w:rsidP="001B3F10">
      <w:pPr>
        <w:ind w:left="567" w:hanging="567"/>
        <w:rPr>
          <w:noProof/>
          <w:lang w:val="lv-LV"/>
        </w:rPr>
      </w:pPr>
    </w:p>
    <w:p w:rsidR="001B3F10" w:rsidRPr="00AA777F" w:rsidRDefault="001B3F10" w:rsidP="00BD38CC">
      <w:pPr>
        <w:ind w:left="567" w:hanging="567"/>
        <w:rPr>
          <w:noProof/>
          <w:lang w:val="lv-LV"/>
        </w:rPr>
      </w:pPr>
      <w:r w:rsidRPr="00AA777F">
        <w:rPr>
          <w:noProof/>
          <w:lang w:val="lv-LV"/>
        </w:rPr>
        <w:t>22.</w:t>
      </w:r>
      <w:r w:rsidRPr="00AA777F">
        <w:rPr>
          <w:noProof/>
          <w:lang w:val="lv-LV"/>
        </w:rPr>
        <w:tab/>
        <w:t>Uz muitas nodokļiem noteiktas izcelsmes precēm "L2" atcelšanas kategorijā tarifu atcelšana neattiecas; ne</w:t>
      </w:r>
      <w:r w:rsidR="00BD38CC">
        <w:rPr>
          <w:noProof/>
          <w:lang w:val="lv-LV"/>
        </w:rPr>
        <w:t>atkarīgi no</w:t>
      </w:r>
      <w:r w:rsidRPr="00AA777F">
        <w:rPr>
          <w:noProof/>
          <w:lang w:val="lv-LV"/>
        </w:rPr>
        <w:t xml:space="preserve"> iepriekš minēt</w:t>
      </w:r>
      <w:r w:rsidR="00BD38CC">
        <w:rPr>
          <w:noProof/>
          <w:lang w:val="lv-LV"/>
        </w:rPr>
        <w:t>ā</w:t>
      </w:r>
      <w:r w:rsidRPr="00AA777F">
        <w:rPr>
          <w:noProof/>
          <w:lang w:val="lv-LV"/>
        </w:rPr>
        <w:t xml:space="preserve"> no šā nolīguma spēkā stāšanās dienas Ekvadora nepiemēro ievedmuitas nodokļus precēm 600 </w:t>
      </w:r>
      <w:r w:rsidR="00BD38CC">
        <w:rPr>
          <w:noProof/>
          <w:lang w:val="lv-LV"/>
        </w:rPr>
        <w:t xml:space="preserve">metrisko </w:t>
      </w:r>
      <w:r w:rsidRPr="00AA777F">
        <w:rPr>
          <w:noProof/>
          <w:lang w:val="lv-LV"/>
        </w:rPr>
        <w:t xml:space="preserve">tonnu ikgadējās kopējās kvotas apmērā, no pirmā gada šo kvotu ik gadu palielinot par 30 </w:t>
      </w:r>
      <w:r w:rsidR="00BD38CC">
        <w:rPr>
          <w:noProof/>
          <w:lang w:val="lv-LV"/>
        </w:rPr>
        <w:t xml:space="preserve">metriskajām </w:t>
      </w:r>
      <w:r w:rsidRPr="00AA777F">
        <w:rPr>
          <w:noProof/>
          <w:lang w:val="lv-LV"/>
        </w:rPr>
        <w:t>tonnām.</w:t>
      </w:r>
    </w:p>
    <w:p w:rsidR="001B3F10" w:rsidRPr="00AA777F" w:rsidRDefault="001B3F10" w:rsidP="001B3F10">
      <w:pPr>
        <w:ind w:left="567" w:hanging="567"/>
        <w:rPr>
          <w:noProof/>
          <w:lang w:val="lv-LV"/>
        </w:rPr>
      </w:pPr>
    </w:p>
    <w:p w:rsidR="001B3F10" w:rsidRPr="00AA777F" w:rsidRDefault="001B3F10" w:rsidP="00BD38CC">
      <w:pPr>
        <w:ind w:left="567" w:hanging="567"/>
        <w:rPr>
          <w:noProof/>
          <w:lang w:val="lv-LV"/>
        </w:rPr>
      </w:pPr>
      <w:r w:rsidRPr="00AA777F">
        <w:rPr>
          <w:noProof/>
          <w:lang w:val="lv-LV"/>
        </w:rPr>
        <w:t>23.</w:t>
      </w:r>
      <w:r w:rsidRPr="00AA777F">
        <w:rPr>
          <w:noProof/>
          <w:lang w:val="lv-LV"/>
        </w:rPr>
        <w:tab/>
        <w:t>Uz muitas nodokļiem noteiktas izcelsmes precēm "L3" atcelšanas kategorijā tarifu atcelšana neattiecas; ne</w:t>
      </w:r>
      <w:r w:rsidR="00BD38CC">
        <w:rPr>
          <w:noProof/>
          <w:lang w:val="lv-LV"/>
        </w:rPr>
        <w:t>atkarīgi</w:t>
      </w:r>
      <w:r w:rsidRPr="00AA777F">
        <w:rPr>
          <w:noProof/>
          <w:lang w:val="lv-LV"/>
        </w:rPr>
        <w:t xml:space="preserve"> </w:t>
      </w:r>
      <w:r w:rsidR="00BD38CC">
        <w:rPr>
          <w:noProof/>
          <w:lang w:val="lv-LV"/>
        </w:rPr>
        <w:t>no</w:t>
      </w:r>
      <w:r w:rsidRPr="00AA777F">
        <w:rPr>
          <w:noProof/>
          <w:lang w:val="lv-LV"/>
        </w:rPr>
        <w:t xml:space="preserve"> iepriekš minēt</w:t>
      </w:r>
      <w:r w:rsidR="00BD38CC">
        <w:rPr>
          <w:noProof/>
          <w:lang w:val="lv-LV"/>
        </w:rPr>
        <w:t>ā</w:t>
      </w:r>
      <w:r w:rsidRPr="00AA777F">
        <w:rPr>
          <w:noProof/>
          <w:lang w:val="lv-LV"/>
        </w:rPr>
        <w:t xml:space="preserve"> no šā nolīguma spēkā stāšanās dienas Ekvadora nepiemēro ievedmuitas nodokļus precēm 500 </w:t>
      </w:r>
      <w:r w:rsidR="00BD38CC">
        <w:rPr>
          <w:noProof/>
          <w:lang w:val="lv-LV"/>
        </w:rPr>
        <w:t xml:space="preserve">metrisko </w:t>
      </w:r>
      <w:r w:rsidRPr="00AA777F">
        <w:rPr>
          <w:noProof/>
          <w:lang w:val="lv-LV"/>
        </w:rPr>
        <w:t xml:space="preserve">tonnu ikgadējās kopējās kvotas apmērā, no pirmā gada šo kvotu ik gadu palielinot par 25 </w:t>
      </w:r>
      <w:r w:rsidR="00BD38CC">
        <w:rPr>
          <w:noProof/>
          <w:lang w:val="lv-LV"/>
        </w:rPr>
        <w:t xml:space="preserve">metriskajām </w:t>
      </w:r>
      <w:r w:rsidRPr="00AA777F">
        <w:rPr>
          <w:noProof/>
          <w:lang w:val="lv-LV"/>
        </w:rPr>
        <w:t>tonnām.</w:t>
      </w:r>
    </w:p>
    <w:p w:rsidR="001B3F10" w:rsidRPr="00AA777F" w:rsidRDefault="001B3F10" w:rsidP="001B3F10">
      <w:pPr>
        <w:ind w:left="567" w:hanging="567"/>
        <w:rPr>
          <w:noProof/>
          <w:lang w:val="lv-LV"/>
        </w:rPr>
      </w:pPr>
    </w:p>
    <w:p w:rsidR="00AA777F" w:rsidRDefault="00AA777F">
      <w:pPr>
        <w:widowControl/>
        <w:spacing w:line="240" w:lineRule="auto"/>
        <w:rPr>
          <w:noProof/>
          <w:lang w:val="lv-LV"/>
        </w:rPr>
      </w:pPr>
      <w:r>
        <w:rPr>
          <w:noProof/>
          <w:lang w:val="lv-LV"/>
        </w:rPr>
        <w:br w:type="page"/>
      </w:r>
    </w:p>
    <w:p w:rsidR="001B3F10" w:rsidRPr="00AA777F" w:rsidRDefault="001B3F10" w:rsidP="00BD38CC">
      <w:pPr>
        <w:ind w:left="567" w:hanging="567"/>
        <w:rPr>
          <w:noProof/>
          <w:lang w:val="lv-LV"/>
        </w:rPr>
      </w:pPr>
      <w:r w:rsidRPr="00AA777F">
        <w:rPr>
          <w:noProof/>
          <w:lang w:val="lv-LV"/>
        </w:rPr>
        <w:lastRenderedPageBreak/>
        <w:t>24.</w:t>
      </w:r>
      <w:r w:rsidRPr="00AA777F">
        <w:rPr>
          <w:noProof/>
          <w:lang w:val="lv-LV"/>
        </w:rPr>
        <w:tab/>
        <w:t>Muitas nodokļus noteiktas izcelsmes precēm "L4" atcelšanas kategorijā atceļ astoņpadsmit vienādos posmos, sākot no šā nolīguma spēkā stāšanās dienas; atlikušos posmus uzsāk turpmāko gadu 1. janvārī, un pēc tam šīs preces ir atbrīvotas no jebkād</w:t>
      </w:r>
      <w:r w:rsidR="00BD38CC">
        <w:rPr>
          <w:noProof/>
          <w:lang w:val="lv-LV"/>
        </w:rPr>
        <w:t>a</w:t>
      </w:r>
      <w:r w:rsidRPr="00AA777F">
        <w:rPr>
          <w:noProof/>
          <w:lang w:val="lv-LV"/>
        </w:rPr>
        <w:t xml:space="preserve"> muitas nodokļ</w:t>
      </w:r>
      <w:r w:rsidR="00BD38CC">
        <w:rPr>
          <w:noProof/>
          <w:lang w:val="lv-LV"/>
        </w:rPr>
        <w:t>a</w:t>
      </w:r>
      <w:r w:rsidRPr="00AA777F">
        <w:rPr>
          <w:noProof/>
          <w:lang w:val="lv-LV"/>
        </w:rPr>
        <w:t>; ne</w:t>
      </w:r>
      <w:r w:rsidR="00BD38CC">
        <w:rPr>
          <w:noProof/>
          <w:lang w:val="lv-LV"/>
        </w:rPr>
        <w:t>atkarīgi</w:t>
      </w:r>
      <w:r w:rsidRPr="00AA777F">
        <w:rPr>
          <w:noProof/>
          <w:lang w:val="lv-LV"/>
        </w:rPr>
        <w:t xml:space="preserve"> </w:t>
      </w:r>
      <w:r w:rsidR="00BD38CC">
        <w:rPr>
          <w:noProof/>
          <w:lang w:val="lv-LV"/>
        </w:rPr>
        <w:t>no</w:t>
      </w:r>
      <w:r w:rsidRPr="00AA777F">
        <w:rPr>
          <w:noProof/>
          <w:lang w:val="lv-LV"/>
        </w:rPr>
        <w:t xml:space="preserve"> iepriekš minēt</w:t>
      </w:r>
      <w:r w:rsidR="00BD38CC">
        <w:rPr>
          <w:noProof/>
          <w:lang w:val="lv-LV"/>
        </w:rPr>
        <w:t>ā</w:t>
      </w:r>
      <w:r w:rsidRPr="00AA777F">
        <w:rPr>
          <w:noProof/>
          <w:lang w:val="lv-LV"/>
        </w:rPr>
        <w:t xml:space="preserve"> no šā nolīguma spēkā stāšanās dienas Ekvadora nepiemēro ievedmuitas nodokļus precēm 1000 </w:t>
      </w:r>
      <w:r w:rsidR="00BD38CC">
        <w:rPr>
          <w:noProof/>
          <w:lang w:val="lv-LV"/>
        </w:rPr>
        <w:t xml:space="preserve">metrisko </w:t>
      </w:r>
      <w:r w:rsidRPr="00AA777F">
        <w:rPr>
          <w:noProof/>
          <w:lang w:val="lv-LV"/>
        </w:rPr>
        <w:t xml:space="preserve">tonnu ikgadējās kopējās kvotas apmērā, no pirmā gada šo kvotu ik gadu palielinot par 50 </w:t>
      </w:r>
      <w:r w:rsidR="00BD38CC">
        <w:rPr>
          <w:noProof/>
          <w:lang w:val="lv-LV"/>
        </w:rPr>
        <w:t xml:space="preserve">metriskajām </w:t>
      </w:r>
      <w:r w:rsidRPr="00AA777F">
        <w:rPr>
          <w:noProof/>
          <w:lang w:val="lv-LV"/>
        </w:rPr>
        <w:t>tonnām.</w:t>
      </w:r>
    </w:p>
    <w:p w:rsidR="001B3F10" w:rsidRPr="00AA777F" w:rsidRDefault="001B3F10" w:rsidP="001B3F10">
      <w:pPr>
        <w:ind w:left="567" w:hanging="567"/>
        <w:rPr>
          <w:noProof/>
          <w:lang w:val="lv-LV"/>
        </w:rPr>
      </w:pPr>
    </w:p>
    <w:p w:rsidR="001B3F10" w:rsidRPr="00AA777F" w:rsidRDefault="001B3F10" w:rsidP="00BD38CC">
      <w:pPr>
        <w:ind w:left="567" w:hanging="567"/>
        <w:rPr>
          <w:noProof/>
          <w:lang w:val="lv-LV"/>
        </w:rPr>
      </w:pPr>
      <w:r w:rsidRPr="00AA777F">
        <w:rPr>
          <w:noProof/>
          <w:lang w:val="lv-LV"/>
        </w:rPr>
        <w:t>25.</w:t>
      </w:r>
      <w:r w:rsidRPr="00AA777F">
        <w:rPr>
          <w:noProof/>
          <w:lang w:val="lv-LV"/>
        </w:rPr>
        <w:tab/>
        <w:t>Uz muitas nodokļiem noteiktas izcelsmes precēm "M" atcelšanas kategorijā tarifu atcelšana neattiecas; ne</w:t>
      </w:r>
      <w:r w:rsidR="00BD38CC">
        <w:rPr>
          <w:noProof/>
          <w:lang w:val="lv-LV"/>
        </w:rPr>
        <w:t>atkarīgi</w:t>
      </w:r>
      <w:r w:rsidRPr="00AA777F">
        <w:rPr>
          <w:noProof/>
          <w:lang w:val="lv-LV"/>
        </w:rPr>
        <w:t xml:space="preserve"> </w:t>
      </w:r>
      <w:r w:rsidR="00BD38CC">
        <w:rPr>
          <w:noProof/>
          <w:lang w:val="lv-LV"/>
        </w:rPr>
        <w:t>no</w:t>
      </w:r>
      <w:r w:rsidRPr="00AA777F">
        <w:rPr>
          <w:noProof/>
          <w:lang w:val="lv-LV"/>
        </w:rPr>
        <w:t xml:space="preserve"> iepriekš minēt</w:t>
      </w:r>
      <w:r w:rsidR="00BD38CC">
        <w:rPr>
          <w:noProof/>
          <w:lang w:val="lv-LV"/>
        </w:rPr>
        <w:t>ā</w:t>
      </w:r>
      <w:r w:rsidRPr="00AA777F">
        <w:rPr>
          <w:noProof/>
          <w:lang w:val="lv-LV"/>
        </w:rPr>
        <w:t xml:space="preserve"> no šā nolīguma spēkā stāšanās dienas Ekvadora nepiemēro ievedmuitas nodokļus precēm 300 </w:t>
      </w:r>
      <w:r w:rsidR="00BD38CC">
        <w:rPr>
          <w:noProof/>
          <w:lang w:val="lv-LV"/>
        </w:rPr>
        <w:t xml:space="preserve">metrisko </w:t>
      </w:r>
      <w:r w:rsidRPr="00AA777F">
        <w:rPr>
          <w:noProof/>
          <w:lang w:val="lv-LV"/>
        </w:rPr>
        <w:t>tonnu ikgadējās kopējās kvotas apmērā.</w:t>
      </w:r>
    </w:p>
    <w:p w:rsidR="001B3F10" w:rsidRPr="00AA777F" w:rsidRDefault="001B3F10" w:rsidP="001B3F10">
      <w:pPr>
        <w:ind w:left="567" w:hanging="567"/>
        <w:rPr>
          <w:noProof/>
          <w:lang w:val="lv-LV"/>
        </w:rPr>
      </w:pPr>
    </w:p>
    <w:p w:rsidR="001B3F10" w:rsidRPr="00AA777F" w:rsidRDefault="001B3F10" w:rsidP="00BD38CC">
      <w:pPr>
        <w:ind w:left="567" w:hanging="567"/>
        <w:rPr>
          <w:noProof/>
          <w:lang w:val="lv-LV"/>
        </w:rPr>
      </w:pPr>
      <w:r w:rsidRPr="00AA777F">
        <w:rPr>
          <w:noProof/>
          <w:lang w:val="lv-LV"/>
        </w:rPr>
        <w:t>26.</w:t>
      </w:r>
      <w:r w:rsidRPr="00AA777F">
        <w:rPr>
          <w:noProof/>
          <w:lang w:val="lv-LV"/>
        </w:rPr>
        <w:tab/>
        <w:t>Uz muitas nodokļiem noteiktas izcelsmes precēm "MC" atcelšanas kategorijā tarifu atcelšana neattiecas; ne</w:t>
      </w:r>
      <w:r w:rsidR="00BD38CC">
        <w:rPr>
          <w:noProof/>
          <w:lang w:val="lv-LV"/>
        </w:rPr>
        <w:t>atkarīgi</w:t>
      </w:r>
      <w:r w:rsidRPr="00AA777F">
        <w:rPr>
          <w:noProof/>
          <w:lang w:val="lv-LV"/>
        </w:rPr>
        <w:t xml:space="preserve"> </w:t>
      </w:r>
      <w:r w:rsidR="00BD38CC">
        <w:rPr>
          <w:noProof/>
          <w:lang w:val="lv-LV"/>
        </w:rPr>
        <w:t>no</w:t>
      </w:r>
      <w:r w:rsidRPr="00AA777F">
        <w:rPr>
          <w:noProof/>
          <w:lang w:val="lv-LV"/>
        </w:rPr>
        <w:t xml:space="preserve"> iepriekš minēt</w:t>
      </w:r>
      <w:r w:rsidR="00BD38CC">
        <w:rPr>
          <w:noProof/>
          <w:lang w:val="lv-LV"/>
        </w:rPr>
        <w:t>ā</w:t>
      </w:r>
      <w:r w:rsidRPr="00AA777F">
        <w:rPr>
          <w:noProof/>
          <w:lang w:val="lv-LV"/>
        </w:rPr>
        <w:t xml:space="preserve"> no šā nolīguma spēkā stāšanās dienas Ekvadora nepiemēro ievedmuitas nodokļus precēm 400 </w:t>
      </w:r>
      <w:r w:rsidR="00BD38CC">
        <w:rPr>
          <w:noProof/>
          <w:lang w:val="lv-LV"/>
        </w:rPr>
        <w:t xml:space="preserve">metrisko </w:t>
      </w:r>
      <w:r w:rsidRPr="00AA777F">
        <w:rPr>
          <w:noProof/>
          <w:lang w:val="lv-LV"/>
        </w:rPr>
        <w:t>tonnu ikgadējās kopējās kvotas apmērā.</w:t>
      </w:r>
    </w:p>
    <w:p w:rsidR="001B3F10" w:rsidRPr="00AA777F" w:rsidRDefault="001B3F10" w:rsidP="001B3F10">
      <w:pPr>
        <w:ind w:left="567" w:hanging="567"/>
        <w:rPr>
          <w:noProof/>
          <w:lang w:val="lv-LV"/>
        </w:rPr>
      </w:pPr>
    </w:p>
    <w:p w:rsidR="001B3F10" w:rsidRPr="00AA777F" w:rsidRDefault="001B3F10" w:rsidP="00BD38CC">
      <w:pPr>
        <w:ind w:left="567" w:hanging="567"/>
        <w:rPr>
          <w:noProof/>
          <w:lang w:val="lv-LV"/>
        </w:rPr>
      </w:pPr>
      <w:r w:rsidRPr="00AA777F">
        <w:rPr>
          <w:noProof/>
          <w:lang w:val="lv-LV"/>
        </w:rPr>
        <w:t>27.</w:t>
      </w:r>
      <w:r w:rsidRPr="00AA777F">
        <w:rPr>
          <w:noProof/>
          <w:lang w:val="lv-LV"/>
        </w:rPr>
        <w:tab/>
        <w:t>Uz muitas nodokļiem noteiktas izcelsmes precēm "PA" atcelšanas kategorijā tarifu atcelšana neattiecas; ne</w:t>
      </w:r>
      <w:r w:rsidR="00BD38CC">
        <w:rPr>
          <w:noProof/>
          <w:lang w:val="lv-LV"/>
        </w:rPr>
        <w:t>atkarīgi</w:t>
      </w:r>
      <w:r w:rsidRPr="00AA777F">
        <w:rPr>
          <w:noProof/>
          <w:lang w:val="lv-LV"/>
        </w:rPr>
        <w:t xml:space="preserve"> </w:t>
      </w:r>
      <w:r w:rsidR="00BD38CC">
        <w:rPr>
          <w:noProof/>
          <w:lang w:val="lv-LV"/>
        </w:rPr>
        <w:t>no</w:t>
      </w:r>
      <w:r w:rsidRPr="00AA777F">
        <w:rPr>
          <w:noProof/>
          <w:lang w:val="lv-LV"/>
        </w:rPr>
        <w:t xml:space="preserve"> iepriekš minēt</w:t>
      </w:r>
      <w:r w:rsidR="00BD38CC">
        <w:rPr>
          <w:noProof/>
          <w:lang w:val="lv-LV"/>
        </w:rPr>
        <w:t>ā</w:t>
      </w:r>
      <w:r w:rsidRPr="00AA777F">
        <w:rPr>
          <w:noProof/>
          <w:lang w:val="lv-LV"/>
        </w:rPr>
        <w:t xml:space="preserve"> no šā nolīguma spēkā stāšanās dienas Ekvadora nepiemēro ievedmuitas nodokļus precēm 250 </w:t>
      </w:r>
      <w:r w:rsidR="00BD38CC">
        <w:rPr>
          <w:noProof/>
          <w:lang w:val="lv-LV"/>
        </w:rPr>
        <w:t xml:space="preserve">metrisko </w:t>
      </w:r>
      <w:r w:rsidRPr="00AA777F">
        <w:rPr>
          <w:noProof/>
          <w:lang w:val="lv-LV"/>
        </w:rPr>
        <w:t xml:space="preserve">tonnu kopējās tarifu kvotas apmērā, no pirmā gada šo kvotu ik gadu palielinot par 7,5 </w:t>
      </w:r>
      <w:r w:rsidR="00BD38CC">
        <w:rPr>
          <w:noProof/>
          <w:lang w:val="lv-LV"/>
        </w:rPr>
        <w:t xml:space="preserve">metriskajām </w:t>
      </w:r>
      <w:r w:rsidRPr="00AA777F">
        <w:rPr>
          <w:noProof/>
          <w:lang w:val="lv-LV"/>
        </w:rPr>
        <w:t>tonnām.</w:t>
      </w:r>
    </w:p>
    <w:p w:rsidR="001B3F10" w:rsidRPr="00AA777F" w:rsidRDefault="001B3F10" w:rsidP="001B3F10">
      <w:pPr>
        <w:ind w:left="567" w:hanging="567"/>
        <w:rPr>
          <w:noProof/>
          <w:lang w:val="lv-LV"/>
        </w:rPr>
      </w:pPr>
    </w:p>
    <w:p w:rsidR="00AA777F" w:rsidRDefault="00AA777F">
      <w:pPr>
        <w:widowControl/>
        <w:spacing w:line="240" w:lineRule="auto"/>
        <w:rPr>
          <w:noProof/>
          <w:lang w:val="lv-LV"/>
        </w:rPr>
      </w:pPr>
      <w:r>
        <w:rPr>
          <w:noProof/>
          <w:lang w:val="lv-LV"/>
        </w:rPr>
        <w:br w:type="page"/>
      </w:r>
    </w:p>
    <w:p w:rsidR="001B3F10" w:rsidRPr="00AA777F" w:rsidRDefault="001B3F10" w:rsidP="007F3B3F">
      <w:pPr>
        <w:ind w:left="567" w:hanging="567"/>
        <w:rPr>
          <w:noProof/>
          <w:lang w:val="lv-LV"/>
        </w:rPr>
      </w:pPr>
      <w:r w:rsidRPr="00AA777F">
        <w:rPr>
          <w:noProof/>
          <w:lang w:val="lv-LV"/>
        </w:rPr>
        <w:lastRenderedPageBreak/>
        <w:t>28.</w:t>
      </w:r>
      <w:r w:rsidRPr="00AA777F">
        <w:rPr>
          <w:noProof/>
          <w:lang w:val="lv-LV"/>
        </w:rPr>
        <w:tab/>
        <w:t xml:space="preserve">Noteiktas izcelsmes precēm "P" atcelšanas kategorijā Ekvadora nepiemēro ievedmuitas nodokļus 800 </w:t>
      </w:r>
      <w:r w:rsidR="00BD38CC">
        <w:rPr>
          <w:noProof/>
          <w:lang w:val="lv-LV"/>
        </w:rPr>
        <w:t xml:space="preserve">metrisko </w:t>
      </w:r>
      <w:r w:rsidRPr="00AA777F">
        <w:rPr>
          <w:noProof/>
          <w:lang w:val="lv-LV"/>
        </w:rPr>
        <w:t>tonnu kopējās kvotas apmērā, sākot no šā nolīguma spēkā stāšanās dienas</w:t>
      </w:r>
      <w:r w:rsidR="007F3B3F">
        <w:rPr>
          <w:noProof/>
          <w:lang w:val="lv-LV"/>
        </w:rPr>
        <w:t>,</w:t>
      </w:r>
      <w:r w:rsidRPr="00AA777F">
        <w:rPr>
          <w:noProof/>
          <w:lang w:val="lv-LV"/>
        </w:rPr>
        <w:t xml:space="preserve"> no pirmā gada šo kvotu ik gadu palielinot par 24 </w:t>
      </w:r>
      <w:r w:rsidR="007F3B3F">
        <w:rPr>
          <w:noProof/>
          <w:lang w:val="lv-LV"/>
        </w:rPr>
        <w:t xml:space="preserve">metriskajām </w:t>
      </w:r>
      <w:r w:rsidRPr="00AA777F">
        <w:rPr>
          <w:noProof/>
          <w:lang w:val="lv-LV"/>
        </w:rPr>
        <w:t>tonnām. Gadā ievestajam preču daudzumam, kas pārsniedz noteikto kvotu, piemēro šādu režīmu:</w:t>
      </w:r>
    </w:p>
    <w:p w:rsidR="001B3F10" w:rsidRPr="00AA777F" w:rsidRDefault="001B3F10" w:rsidP="001B3F10">
      <w:pPr>
        <w:ind w:left="567" w:hanging="567"/>
        <w:rPr>
          <w:noProof/>
          <w:lang w:val="lv-LV"/>
        </w:rPr>
      </w:pPr>
    </w:p>
    <w:p w:rsidR="001B3F10" w:rsidRPr="00AA777F" w:rsidRDefault="001B3F10" w:rsidP="007F3B3F">
      <w:pPr>
        <w:ind w:left="1134" w:hanging="567"/>
        <w:rPr>
          <w:noProof/>
          <w:lang w:val="lv-LV"/>
        </w:rPr>
      </w:pPr>
      <w:r w:rsidRPr="00AA777F">
        <w:rPr>
          <w:noProof/>
          <w:lang w:val="lv-LV"/>
        </w:rPr>
        <w:t>a)</w:t>
      </w:r>
      <w:r w:rsidRPr="00AA777F">
        <w:rPr>
          <w:noProof/>
          <w:lang w:val="lv-LV"/>
        </w:rPr>
        <w:tab/>
        <w:t>uz muitas nodokļiem noteiktas izcelsmes precēm tarifu pozīcijā 16010000 tarifu atcelšana neattiecas</w:t>
      </w:r>
      <w:r w:rsidR="007F3B3F">
        <w:rPr>
          <w:noProof/>
          <w:lang w:val="lv-LV"/>
        </w:rPr>
        <w:t>;</w:t>
      </w:r>
    </w:p>
    <w:p w:rsidR="001B3F10" w:rsidRPr="00AA777F" w:rsidRDefault="001B3F10" w:rsidP="001B3F10">
      <w:pPr>
        <w:ind w:left="1134" w:hanging="567"/>
        <w:rPr>
          <w:noProof/>
          <w:lang w:val="lv-LV"/>
        </w:rPr>
      </w:pPr>
    </w:p>
    <w:p w:rsidR="001B3F10" w:rsidRPr="00AA777F" w:rsidRDefault="001B3F10" w:rsidP="007F3B3F">
      <w:pPr>
        <w:ind w:left="1134" w:hanging="567"/>
        <w:rPr>
          <w:noProof/>
          <w:lang w:val="lv-LV"/>
        </w:rPr>
      </w:pPr>
      <w:r w:rsidRPr="00AA777F">
        <w:rPr>
          <w:noProof/>
          <w:lang w:val="lv-LV"/>
        </w:rPr>
        <w:t>b)</w:t>
      </w:r>
      <w:r w:rsidRPr="00AA777F">
        <w:rPr>
          <w:noProof/>
          <w:lang w:val="lv-LV"/>
        </w:rPr>
        <w:tab/>
      </w:r>
      <w:r w:rsidRPr="00AA777F">
        <w:rPr>
          <w:i/>
          <w:noProof/>
          <w:lang w:val="lv-LV"/>
        </w:rPr>
        <w:t>MEP</w:t>
      </w:r>
      <w:r w:rsidRPr="00AA777F">
        <w:rPr>
          <w:noProof/>
          <w:lang w:val="lv-LV"/>
        </w:rPr>
        <w:t xml:space="preserve"> fiksēto komponenti (20 %) tarifu pozīcijā 02101200 atceļ astoņos vienādos posmos, sākot no šā nolīguma spēkā stāšanās dienas; atlikušos posmus uzsāk turpmāko gadu 1. </w:t>
      </w:r>
      <w:r w:rsidR="007F3B3F">
        <w:rPr>
          <w:noProof/>
          <w:lang w:val="lv-LV"/>
        </w:rPr>
        <w:t>j</w:t>
      </w:r>
      <w:r w:rsidRPr="00AA777F">
        <w:rPr>
          <w:noProof/>
          <w:lang w:val="lv-LV"/>
        </w:rPr>
        <w:t>anvārī</w:t>
      </w:r>
      <w:r w:rsidR="007F3B3F">
        <w:rPr>
          <w:noProof/>
          <w:lang w:val="lv-LV"/>
        </w:rPr>
        <w:t>;</w:t>
      </w:r>
    </w:p>
    <w:p w:rsidR="001B3F10" w:rsidRPr="00AA777F" w:rsidRDefault="001B3F10" w:rsidP="001B3F10">
      <w:pPr>
        <w:ind w:left="1134" w:hanging="567"/>
        <w:rPr>
          <w:noProof/>
          <w:lang w:val="lv-LV"/>
        </w:rPr>
      </w:pPr>
    </w:p>
    <w:p w:rsidR="001B3F10" w:rsidRPr="00AA777F" w:rsidRDefault="001B3F10" w:rsidP="001B3F10">
      <w:pPr>
        <w:ind w:left="1134" w:hanging="567"/>
        <w:rPr>
          <w:noProof/>
          <w:lang w:val="lv-LV"/>
        </w:rPr>
      </w:pPr>
      <w:r w:rsidRPr="00AA777F">
        <w:rPr>
          <w:noProof/>
          <w:lang w:val="lv-LV"/>
        </w:rPr>
        <w:t>c)</w:t>
      </w:r>
      <w:r w:rsidRPr="00AA777F">
        <w:rPr>
          <w:noProof/>
          <w:lang w:val="lv-LV"/>
        </w:rPr>
        <w:tab/>
        <w:t>muitas nodokļus tarifu pozīcijās 02101900, 16024100 un 16024200 atceļ saskaņā ar noteikumiem, kas izstrādāti “15” kategorijai.</w:t>
      </w:r>
    </w:p>
    <w:p w:rsidR="001B3F10" w:rsidRPr="00AA777F" w:rsidRDefault="001B3F10" w:rsidP="001B3F10">
      <w:pPr>
        <w:ind w:left="567" w:hanging="567"/>
        <w:rPr>
          <w:noProof/>
          <w:lang w:val="lv-LV"/>
        </w:rPr>
      </w:pPr>
    </w:p>
    <w:p w:rsidR="001B3F10" w:rsidRPr="00AA777F" w:rsidRDefault="001B3F10" w:rsidP="007F3B3F">
      <w:pPr>
        <w:ind w:left="567" w:hanging="567"/>
        <w:rPr>
          <w:noProof/>
          <w:lang w:val="lv-LV"/>
        </w:rPr>
      </w:pPr>
      <w:r w:rsidRPr="00AA777F">
        <w:rPr>
          <w:noProof/>
          <w:lang w:val="lv-LV"/>
        </w:rPr>
        <w:t>29.</w:t>
      </w:r>
      <w:r w:rsidRPr="00AA777F">
        <w:rPr>
          <w:noProof/>
          <w:lang w:val="lv-LV"/>
        </w:rPr>
        <w:tab/>
        <w:t>Uz muitas nodokļiem noteiktas izcelsmes precēm "SP" atcelšanas kategorijā tarifu atcelšana neattiecas; ne</w:t>
      </w:r>
      <w:r w:rsidR="007F3B3F">
        <w:rPr>
          <w:noProof/>
          <w:lang w:val="lv-LV"/>
        </w:rPr>
        <w:t>atkarīgi</w:t>
      </w:r>
      <w:r w:rsidRPr="00AA777F">
        <w:rPr>
          <w:noProof/>
          <w:lang w:val="lv-LV"/>
        </w:rPr>
        <w:t xml:space="preserve"> </w:t>
      </w:r>
      <w:r w:rsidR="007F3B3F">
        <w:rPr>
          <w:noProof/>
          <w:lang w:val="lv-LV"/>
        </w:rPr>
        <w:t>no</w:t>
      </w:r>
      <w:r w:rsidRPr="00AA777F">
        <w:rPr>
          <w:noProof/>
          <w:lang w:val="lv-LV"/>
        </w:rPr>
        <w:t xml:space="preserve"> iepriekš minēt</w:t>
      </w:r>
      <w:r w:rsidR="007F3B3F">
        <w:rPr>
          <w:noProof/>
          <w:lang w:val="lv-LV"/>
        </w:rPr>
        <w:t>ā</w:t>
      </w:r>
      <w:r w:rsidRPr="00AA777F">
        <w:rPr>
          <w:noProof/>
          <w:lang w:val="lv-LV"/>
        </w:rPr>
        <w:t xml:space="preserve"> no šā nolīguma spēkā stāšanās dienas Ekvadora nepiemēro ievedmuitas nodokļus precēm 750 </w:t>
      </w:r>
      <w:r w:rsidR="007F3B3F">
        <w:rPr>
          <w:noProof/>
          <w:lang w:val="lv-LV"/>
        </w:rPr>
        <w:t xml:space="preserve">metrisko </w:t>
      </w:r>
      <w:r w:rsidRPr="00AA777F">
        <w:rPr>
          <w:noProof/>
          <w:lang w:val="lv-LV"/>
        </w:rPr>
        <w:t>tonnu ikgadējās kopējās kvotas apmērā.</w:t>
      </w:r>
    </w:p>
    <w:p w:rsidR="001B3F10" w:rsidRPr="00AA777F" w:rsidRDefault="001B3F10" w:rsidP="001B3F10">
      <w:pPr>
        <w:ind w:left="567" w:hanging="567"/>
        <w:rPr>
          <w:noProof/>
          <w:lang w:val="lv-LV"/>
        </w:rPr>
      </w:pPr>
    </w:p>
    <w:p w:rsidR="001B3F10" w:rsidRPr="00AA777F" w:rsidRDefault="001B3F10" w:rsidP="001B3F10">
      <w:pPr>
        <w:ind w:left="567" w:hanging="567"/>
        <w:rPr>
          <w:noProof/>
          <w:lang w:val="lv-LV"/>
        </w:rPr>
      </w:pPr>
      <w:r w:rsidRPr="00AA777F">
        <w:rPr>
          <w:noProof/>
          <w:lang w:val="lv-LV"/>
        </w:rPr>
        <w:t>30.</w:t>
      </w:r>
      <w:r w:rsidRPr="00AA777F">
        <w:rPr>
          <w:noProof/>
          <w:lang w:val="lv-LV"/>
        </w:rPr>
        <w:tab/>
        <w:t>Muitas nodokļu likmes katrā posmā noapaļo vismaz līdz tuvākajai procentpunkta desmitdaļai vai, ja muitas nodokļa likme ir izteikta naudas vienībās, vismaz līdz tuvākajiem Ekvadoras oficiālās naudas vienības trīs cipariem aiz komata (0,001).</w:t>
      </w:r>
    </w:p>
    <w:p w:rsidR="001B3F10" w:rsidRPr="00AA777F" w:rsidRDefault="001B3F10" w:rsidP="001B3F10">
      <w:pPr>
        <w:ind w:left="567" w:hanging="567"/>
        <w:rPr>
          <w:noProof/>
          <w:lang w:val="lv-LV"/>
        </w:rPr>
      </w:pPr>
    </w:p>
    <w:p w:rsidR="00AA777F" w:rsidRDefault="00AA777F">
      <w:pPr>
        <w:widowControl/>
        <w:spacing w:line="240" w:lineRule="auto"/>
        <w:rPr>
          <w:noProof/>
          <w:lang w:val="lv-LV"/>
        </w:rPr>
      </w:pPr>
      <w:r>
        <w:rPr>
          <w:noProof/>
          <w:lang w:val="lv-LV"/>
        </w:rPr>
        <w:br w:type="page"/>
      </w:r>
    </w:p>
    <w:p w:rsidR="001B3F10" w:rsidRPr="00AA777F" w:rsidRDefault="001B3F10" w:rsidP="007F3B3F">
      <w:pPr>
        <w:ind w:left="567" w:hanging="567"/>
        <w:rPr>
          <w:noProof/>
          <w:lang w:val="lv-LV"/>
        </w:rPr>
      </w:pPr>
      <w:r w:rsidRPr="00AA777F">
        <w:rPr>
          <w:noProof/>
          <w:lang w:val="lv-LV"/>
        </w:rPr>
        <w:lastRenderedPageBreak/>
        <w:t>31.</w:t>
      </w:r>
      <w:r w:rsidRPr="00AA777F">
        <w:rPr>
          <w:noProof/>
          <w:lang w:val="lv-LV"/>
        </w:rPr>
        <w:tab/>
      </w:r>
      <w:r w:rsidR="007F3B3F">
        <w:rPr>
          <w:noProof/>
          <w:lang w:val="lv-LV"/>
        </w:rPr>
        <w:t>Piemērojot šo</w:t>
      </w:r>
      <w:r w:rsidRPr="00AA777F">
        <w:rPr>
          <w:noProof/>
          <w:lang w:val="lv-LV"/>
        </w:rPr>
        <w:t xml:space="preserve"> iedaļ</w:t>
      </w:r>
      <w:r w:rsidR="007F3B3F">
        <w:rPr>
          <w:noProof/>
          <w:lang w:val="lv-LV"/>
        </w:rPr>
        <w:t>u,</w:t>
      </w:r>
      <w:r w:rsidRPr="00AA777F">
        <w:rPr>
          <w:noProof/>
          <w:lang w:val="lv-LV"/>
        </w:rPr>
        <w:t xml:space="preserve"> “pirmais gads” ir tas kalendārais gads, kas sākas 1. janvārī pēc tā gada, kurā šis nolīgums stājies spēkā, </w:t>
      </w:r>
      <w:r w:rsidR="007F3B3F">
        <w:rPr>
          <w:noProof/>
          <w:lang w:val="lv-LV"/>
        </w:rPr>
        <w:t>ievērojot</w:t>
      </w:r>
      <w:r w:rsidRPr="00AA777F">
        <w:rPr>
          <w:noProof/>
          <w:lang w:val="lv-LV"/>
        </w:rPr>
        <w:t xml:space="preserve"> šā nolīguma 330. pant</w:t>
      </w:r>
      <w:r w:rsidR="007F3B3F">
        <w:rPr>
          <w:noProof/>
          <w:lang w:val="lv-LV"/>
        </w:rPr>
        <w:t>u</w:t>
      </w:r>
      <w:r w:rsidRPr="00AA777F">
        <w:rPr>
          <w:noProof/>
          <w:lang w:val="lv-LV"/>
        </w:rPr>
        <w:t xml:space="preserve"> (Spēkā stāšanās). Gadi, kas apzīmēti kā “otrais gads”, “trešais gads” </w:t>
      </w:r>
      <w:r w:rsidR="007F3B3F">
        <w:rPr>
          <w:noProof/>
          <w:lang w:val="lv-LV"/>
        </w:rPr>
        <w:t>utt.</w:t>
      </w:r>
      <w:r w:rsidRPr="00AA777F">
        <w:rPr>
          <w:noProof/>
          <w:lang w:val="lv-LV"/>
        </w:rPr>
        <w:t>, ir kalendārie gadi, kas seko pirmajam gadam, kā noteikts šajā punktā.</w:t>
      </w:r>
    </w:p>
    <w:p w:rsidR="001B3F10" w:rsidRPr="00AA777F" w:rsidRDefault="001B3F10" w:rsidP="001B3F10">
      <w:pPr>
        <w:ind w:left="567" w:hanging="567"/>
        <w:rPr>
          <w:noProof/>
          <w:lang w:val="lv-LV"/>
        </w:rPr>
      </w:pPr>
    </w:p>
    <w:p w:rsidR="001B3F10" w:rsidRPr="00AA777F" w:rsidRDefault="001B3F10" w:rsidP="001B3F10">
      <w:pPr>
        <w:ind w:left="567" w:hanging="567"/>
        <w:rPr>
          <w:noProof/>
          <w:lang w:val="lv-LV"/>
        </w:rPr>
      </w:pPr>
      <w:r w:rsidRPr="00AA777F">
        <w:rPr>
          <w:noProof/>
          <w:lang w:val="lv-LV"/>
        </w:rPr>
        <w:t>32.</w:t>
      </w:r>
      <w:r w:rsidRPr="00AA777F">
        <w:rPr>
          <w:noProof/>
          <w:lang w:val="lv-LV"/>
        </w:rPr>
        <w:tab/>
        <w:t>Šīs iedaļas noteikumi ir izteikti saskaņā ar Andu Kopienas dalībvalstu nomenklatūru (</w:t>
      </w:r>
      <w:r w:rsidRPr="00AA777F">
        <w:rPr>
          <w:i/>
          <w:noProof/>
          <w:lang w:val="lv-LV"/>
        </w:rPr>
        <w:t>NANDINA</w:t>
      </w:r>
      <w:r w:rsidRPr="00AA777F">
        <w:rPr>
          <w:noProof/>
          <w:lang w:val="lv-LV"/>
        </w:rPr>
        <w:t>), kas balstīta uz Preču aprakstīšanas un kodēšanas harmonizētās sistēmas (HS) 2007. gada versiju.</w:t>
      </w:r>
    </w:p>
    <w:p w:rsidR="001B3F10" w:rsidRPr="00AA777F" w:rsidRDefault="001B3F10" w:rsidP="001B3F10">
      <w:pPr>
        <w:ind w:left="567" w:hanging="567"/>
        <w:rPr>
          <w:noProof/>
          <w:lang w:val="lv-LV"/>
        </w:rPr>
      </w:pPr>
    </w:p>
    <w:p w:rsidR="001B3F10" w:rsidRPr="00AA777F" w:rsidRDefault="001B3F10" w:rsidP="007F3B3F">
      <w:pPr>
        <w:ind w:left="567" w:hanging="567"/>
        <w:rPr>
          <w:noProof/>
          <w:lang w:val="lv-LV"/>
        </w:rPr>
      </w:pPr>
      <w:r w:rsidRPr="00AA777F">
        <w:rPr>
          <w:noProof/>
          <w:lang w:val="lv-LV"/>
        </w:rPr>
        <w:t>33.</w:t>
      </w:r>
      <w:r w:rsidRPr="00AA777F">
        <w:rPr>
          <w:noProof/>
          <w:lang w:val="lv-LV"/>
        </w:rPr>
        <w:tab/>
        <w:t xml:space="preserve">Interpretējot šīs iedaļas noteikumus, kā arī atjauninot tarifu pozīcijas, piemēro </w:t>
      </w:r>
      <w:r w:rsidRPr="00AA777F">
        <w:rPr>
          <w:i/>
          <w:noProof/>
          <w:lang w:val="lv-LV"/>
        </w:rPr>
        <w:t>NANDINA</w:t>
      </w:r>
      <w:r w:rsidRPr="00AA777F">
        <w:rPr>
          <w:noProof/>
          <w:lang w:val="lv-LV"/>
        </w:rPr>
        <w:t xml:space="preserve"> vispārīgās piezīmes, iedaļu piezīmes un nodaļu piezīmes. Ja šīs iedaļas noteikumi ir identiski atbilst</w:t>
      </w:r>
      <w:r w:rsidR="007F3B3F">
        <w:rPr>
          <w:noProof/>
          <w:lang w:val="lv-LV"/>
        </w:rPr>
        <w:t>īg</w:t>
      </w:r>
      <w:r w:rsidRPr="00AA777F">
        <w:rPr>
          <w:noProof/>
          <w:lang w:val="lv-LV"/>
        </w:rPr>
        <w:t xml:space="preserve">ajiem </w:t>
      </w:r>
      <w:r w:rsidRPr="00AA777F">
        <w:rPr>
          <w:i/>
          <w:noProof/>
          <w:lang w:val="lv-LV"/>
        </w:rPr>
        <w:t>NANDINA</w:t>
      </w:r>
      <w:r w:rsidRPr="00AA777F">
        <w:rPr>
          <w:noProof/>
          <w:lang w:val="lv-LV"/>
        </w:rPr>
        <w:t xml:space="preserve"> noteikumiem, šīs iedaļas noteikumiem ir tāda pati nozīmē kā atbilst</w:t>
      </w:r>
      <w:r w:rsidR="007F3B3F">
        <w:rPr>
          <w:noProof/>
          <w:lang w:val="lv-LV"/>
        </w:rPr>
        <w:t>īg</w:t>
      </w:r>
      <w:r w:rsidRPr="00AA777F">
        <w:rPr>
          <w:noProof/>
          <w:lang w:val="lv-LV"/>
        </w:rPr>
        <w:t xml:space="preserve">ajiem </w:t>
      </w:r>
      <w:r w:rsidRPr="00AA777F">
        <w:rPr>
          <w:i/>
          <w:noProof/>
          <w:lang w:val="lv-LV"/>
        </w:rPr>
        <w:t>NANDINA</w:t>
      </w:r>
      <w:r w:rsidRPr="00AA777F">
        <w:rPr>
          <w:noProof/>
          <w:lang w:val="lv-LV"/>
        </w:rPr>
        <w:t xml:space="preserve"> noteikumiem.</w:t>
      </w:r>
    </w:p>
    <w:p w:rsidR="001B3F10" w:rsidRPr="00AA777F" w:rsidRDefault="001B3F10" w:rsidP="001B3F10">
      <w:pPr>
        <w:ind w:left="567" w:hanging="567"/>
        <w:rPr>
          <w:noProof/>
          <w:lang w:val="lv-LV"/>
        </w:rPr>
      </w:pPr>
    </w:p>
    <w:p w:rsidR="001B3F10" w:rsidRPr="00AA777F" w:rsidRDefault="001B3F10" w:rsidP="007F3B3F">
      <w:pPr>
        <w:ind w:left="567" w:hanging="567"/>
        <w:rPr>
          <w:noProof/>
          <w:lang w:val="lv-LV"/>
        </w:rPr>
      </w:pPr>
      <w:r w:rsidRPr="00AA777F">
        <w:rPr>
          <w:noProof/>
          <w:lang w:val="lv-LV"/>
        </w:rPr>
        <w:t>34.</w:t>
      </w:r>
      <w:r w:rsidRPr="00AA777F">
        <w:rPr>
          <w:noProof/>
          <w:lang w:val="lv-LV"/>
        </w:rPr>
        <w:tab/>
        <w:t>Ja šis nolīgums stājas spēkā kādā datumā pēc viena un tā paša gada kalendārā gada 1. janvāra un pirms 31. decembra, tarifu kvotas apjomu aprēķina proporcionāli tajā kalendārajā gadā atlikušo dienu skaitam.</w:t>
      </w:r>
    </w:p>
    <w:p w:rsidR="00E13045" w:rsidRDefault="00E13045" w:rsidP="001B3F10">
      <w:pPr>
        <w:rPr>
          <w:szCs w:val="23"/>
          <w:lang w:val="lv-LV"/>
        </w:rPr>
      </w:pPr>
    </w:p>
    <w:p w:rsidR="00AA777F" w:rsidRPr="00E23936" w:rsidRDefault="00AA777F" w:rsidP="00AA777F">
      <w:pPr>
        <w:rPr>
          <w:noProof/>
          <w:lang w:val="lv-LV"/>
        </w:rPr>
      </w:pPr>
      <w:r w:rsidRPr="00E23936">
        <w:rPr>
          <w:noProof/>
          <w:lang w:val="lv-LV"/>
        </w:rPr>
        <w:t>________________</w:t>
      </w:r>
    </w:p>
    <w:p w:rsidR="00AA777F" w:rsidRPr="00E23936" w:rsidRDefault="00AA777F" w:rsidP="00AA777F">
      <w:pPr>
        <w:spacing w:line="240" w:lineRule="auto"/>
        <w:ind w:left="567" w:hanging="567"/>
        <w:rPr>
          <w:rFonts w:eastAsia="Calibri"/>
          <w:noProof/>
          <w:lang w:val="lv-LV"/>
        </w:rPr>
      </w:pPr>
      <w:r w:rsidRPr="00E23936">
        <w:rPr>
          <w:b/>
          <w:bCs/>
          <w:noProof/>
          <w:vertAlign w:val="superscript"/>
          <w:lang w:val="lv-LV"/>
        </w:rPr>
        <w:t>1</w:t>
      </w:r>
      <w:r w:rsidRPr="00E23936">
        <w:rPr>
          <w:noProof/>
          <w:lang w:val="lv-LV"/>
        </w:rPr>
        <w:tab/>
      </w:r>
      <w:r w:rsidRPr="00AA777F">
        <w:rPr>
          <w:lang w:val="lv-LV"/>
        </w:rPr>
        <w:t>"Kopējā kvota" ir tāda kvota, kas ietver tarifu pozīcijas, kuras ir ietvertas attiecīgajā liberalizācijas grafikā; tādējādi šīs kvotas izmantošana var aptvert vienu vai vairākas tarifu pozīcijas.</w:t>
      </w:r>
      <w:r w:rsidR="007F3B3F">
        <w:rPr>
          <w:lang w:val="lv-LV"/>
        </w:rPr>
        <w:t>"</w:t>
      </w:r>
    </w:p>
    <w:p w:rsidR="00AA777F" w:rsidRPr="00E23936" w:rsidRDefault="00AA777F" w:rsidP="00AA777F">
      <w:pPr>
        <w:ind w:left="567" w:hanging="567"/>
        <w:rPr>
          <w:rFonts w:eastAsia="Calibri"/>
          <w:noProof/>
          <w:lang w:val="lv-LV"/>
        </w:rPr>
      </w:pPr>
    </w:p>
    <w:p w:rsidR="00AA777F" w:rsidRPr="00E23936" w:rsidRDefault="00AA777F" w:rsidP="00AA777F">
      <w:pPr>
        <w:ind w:left="567" w:hanging="567"/>
        <w:rPr>
          <w:rFonts w:eastAsia="Calibri"/>
          <w:noProof/>
          <w:lang w:val="lv-LV"/>
        </w:rPr>
      </w:pPr>
    </w:p>
    <w:p w:rsidR="00AA777F" w:rsidRPr="009851A6" w:rsidRDefault="00AA777F" w:rsidP="00AA777F">
      <w:pPr>
        <w:ind w:left="567" w:hanging="567"/>
        <w:jc w:val="center"/>
        <w:rPr>
          <w:rFonts w:eastAsia="Calibri"/>
          <w:noProof/>
        </w:rPr>
      </w:pPr>
      <w:r>
        <w:rPr>
          <w:rFonts w:eastAsia="Calibri"/>
          <w:noProof/>
        </w:rPr>
        <w:t>________________</w:t>
      </w:r>
    </w:p>
    <w:p w:rsidR="00AA777F" w:rsidRDefault="00AA777F" w:rsidP="001B3F10">
      <w:pPr>
        <w:rPr>
          <w:szCs w:val="23"/>
          <w:lang w:val="lv-LV"/>
        </w:rPr>
      </w:pPr>
    </w:p>
    <w:sectPr w:rsidR="00AA777F" w:rsidSect="002F07C7">
      <w:footerReference w:type="default" r:id="rId16"/>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FA" w:rsidRDefault="00241FFA">
      <w:r>
        <w:separator/>
      </w:r>
    </w:p>
  </w:endnote>
  <w:endnote w:type="continuationSeparator" w:id="0">
    <w:p w:rsidR="00241FFA" w:rsidRDefault="00241FF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pPr>
      <w:pStyle w:val="Footer"/>
      <w:pBdr>
        <w:bottom w:val="single" w:sz="4" w:space="1" w:color="auto"/>
      </w:pBdr>
      <w:spacing w:after="60"/>
    </w:pPr>
  </w:p>
  <w:p w:rsidR="00241FFA" w:rsidRDefault="00241FFA" w:rsidP="001B3F10">
    <w:pPr>
      <w:pStyle w:val="Footer"/>
    </w:pPr>
    <w:bookmarkStart w:id="14" w:name="CoteFooter"/>
    <w:bookmarkEnd w:id="14"/>
    <w:r>
      <w:t xml:space="preserve">7621/16 ADD </w:t>
    </w:r>
    <w:r w:rsidR="001B3F10">
      <w:t>7</w:t>
    </w:r>
    <w:r>
      <w:tab/>
    </w:r>
    <w:bookmarkStart w:id="15" w:name="SuplCote"/>
    <w:bookmarkEnd w:id="15"/>
    <w:r>
      <w:tab/>
    </w:r>
    <w:bookmarkStart w:id="16" w:name="Init"/>
    <w:bookmarkEnd w:id="16"/>
    <w:r w:rsidR="00B25101">
      <w:t>ILV/ica</w:t>
    </w:r>
    <w:r>
      <w:tab/>
    </w:r>
  </w:p>
  <w:p w:rsidR="00241FFA" w:rsidRDefault="00241FFA" w:rsidP="00B25101">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sidR="00B25101">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rsidP="002008A0">
    <w:pPr>
      <w:pStyle w:val="Footer"/>
    </w:pPr>
  </w:p>
  <w:p w:rsidR="00241FFA" w:rsidRPr="0075477E" w:rsidRDefault="00241FFA" w:rsidP="002F07C7">
    <w:pPr>
      <w:pStyle w:val="Footer"/>
      <w:jc w:val="center"/>
      <w:rPr>
        <w:lang w:val="pl-PL"/>
      </w:rPr>
    </w:pPr>
    <w:r w:rsidRPr="0075477E">
      <w:rPr>
        <w:lang w:val="pl-PL"/>
      </w:rPr>
      <w:t>PAC/EU/EC-CO/PE/I</w:t>
    </w:r>
    <w:r w:rsidR="002F07C7">
      <w:rPr>
        <w:lang w:val="pl-PL"/>
      </w:rPr>
      <w:t>V</w:t>
    </w:r>
    <w:r w:rsidR="00B25101" w:rsidRPr="0075477E">
      <w:rPr>
        <w:lang w:val="pl-PL"/>
      </w:rPr>
      <w:t xml:space="preserve"> pielikums</w:t>
    </w:r>
    <w:r w:rsidRPr="0075477E">
      <w:rPr>
        <w:lang w:val="pl-PL"/>
      </w:rPr>
      <w:t>/</w:t>
    </w:r>
    <w:r w:rsidR="00B25101" w:rsidRPr="0075477E">
      <w:rPr>
        <w:lang w:val="pl-PL"/>
      </w:rPr>
      <w:t>lv</w:t>
    </w:r>
    <w:r w:rsidRPr="0075477E">
      <w:rPr>
        <w:lang w:val="pl-PL"/>
      </w:rPr>
      <w:t xml:space="preserve"> </w:t>
    </w:r>
    <w:r>
      <w:fldChar w:fldCharType="begin"/>
    </w:r>
    <w:r w:rsidRPr="0075477E">
      <w:rPr>
        <w:lang w:val="pl-PL"/>
      </w:rPr>
      <w:instrText xml:space="preserve"> PAGE  \* MERGEFORMAT </w:instrText>
    </w:r>
    <w:r>
      <w:fldChar w:fldCharType="separate"/>
    </w:r>
    <w:r w:rsidR="0038112F">
      <w:rPr>
        <w:noProof/>
        <w:lang w:val="pl-P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FA" w:rsidRDefault="00241FFA">
      <w:pPr>
        <w:pStyle w:val="FootnoteText"/>
      </w:pPr>
      <w:r>
        <w:separator/>
      </w:r>
    </w:p>
  </w:footnote>
  <w:footnote w:type="continuationSeparator" w:id="0">
    <w:p w:rsidR="00241FFA" w:rsidRDefault="00241FFA">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41541"/>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B3F10"/>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A000E"/>
    <w:rsid w:val="002B28C5"/>
    <w:rsid w:val="002C2564"/>
    <w:rsid w:val="002D0849"/>
    <w:rsid w:val="002D1EFE"/>
    <w:rsid w:val="002D5B64"/>
    <w:rsid w:val="002E0FE7"/>
    <w:rsid w:val="002E46F1"/>
    <w:rsid w:val="002F07C7"/>
    <w:rsid w:val="002F1116"/>
    <w:rsid w:val="00304C1B"/>
    <w:rsid w:val="00304DEB"/>
    <w:rsid w:val="00316D9A"/>
    <w:rsid w:val="00323DF1"/>
    <w:rsid w:val="003317EC"/>
    <w:rsid w:val="00335A55"/>
    <w:rsid w:val="00337A9B"/>
    <w:rsid w:val="00365A1E"/>
    <w:rsid w:val="00376FF1"/>
    <w:rsid w:val="00380CCA"/>
    <w:rsid w:val="0038112F"/>
    <w:rsid w:val="003812B9"/>
    <w:rsid w:val="00382461"/>
    <w:rsid w:val="0039090B"/>
    <w:rsid w:val="00392040"/>
    <w:rsid w:val="003B3D93"/>
    <w:rsid w:val="003B4BBB"/>
    <w:rsid w:val="003D12D6"/>
    <w:rsid w:val="003D1F37"/>
    <w:rsid w:val="003D5361"/>
    <w:rsid w:val="003E7DAA"/>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91B"/>
    <w:rsid w:val="006609FB"/>
    <w:rsid w:val="00681EB1"/>
    <w:rsid w:val="006911C5"/>
    <w:rsid w:val="0069311C"/>
    <w:rsid w:val="006937B9"/>
    <w:rsid w:val="006A0200"/>
    <w:rsid w:val="006A0D97"/>
    <w:rsid w:val="006B3FE1"/>
    <w:rsid w:val="006B5459"/>
    <w:rsid w:val="006C6C26"/>
    <w:rsid w:val="006D2C19"/>
    <w:rsid w:val="006E5355"/>
    <w:rsid w:val="006F22F6"/>
    <w:rsid w:val="006F3E3F"/>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D53E5"/>
    <w:rsid w:val="007F07CE"/>
    <w:rsid w:val="007F38E2"/>
    <w:rsid w:val="007F3B3F"/>
    <w:rsid w:val="007F7819"/>
    <w:rsid w:val="0081789E"/>
    <w:rsid w:val="00820D9C"/>
    <w:rsid w:val="0083043C"/>
    <w:rsid w:val="008515A7"/>
    <w:rsid w:val="00853B46"/>
    <w:rsid w:val="0086241D"/>
    <w:rsid w:val="00867241"/>
    <w:rsid w:val="0088319A"/>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A777F"/>
    <w:rsid w:val="00AB5B0C"/>
    <w:rsid w:val="00AD020C"/>
    <w:rsid w:val="00AE6D64"/>
    <w:rsid w:val="00AF503E"/>
    <w:rsid w:val="00B01529"/>
    <w:rsid w:val="00B104EA"/>
    <w:rsid w:val="00B112C8"/>
    <w:rsid w:val="00B25101"/>
    <w:rsid w:val="00B40E1C"/>
    <w:rsid w:val="00B55A5E"/>
    <w:rsid w:val="00B722DD"/>
    <w:rsid w:val="00B845E7"/>
    <w:rsid w:val="00B9096D"/>
    <w:rsid w:val="00B96F3B"/>
    <w:rsid w:val="00B97461"/>
    <w:rsid w:val="00BB1CD5"/>
    <w:rsid w:val="00BC3FE8"/>
    <w:rsid w:val="00BD38CC"/>
    <w:rsid w:val="00BE0095"/>
    <w:rsid w:val="00BE0D86"/>
    <w:rsid w:val="00BE7C2A"/>
    <w:rsid w:val="00BF1051"/>
    <w:rsid w:val="00C1359A"/>
    <w:rsid w:val="00C22400"/>
    <w:rsid w:val="00C351CC"/>
    <w:rsid w:val="00C4415B"/>
    <w:rsid w:val="00C502FD"/>
    <w:rsid w:val="00C548E9"/>
    <w:rsid w:val="00C55246"/>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13045"/>
    <w:rsid w:val="00E23936"/>
    <w:rsid w:val="00E40BDE"/>
    <w:rsid w:val="00E45613"/>
    <w:rsid w:val="00E5556D"/>
    <w:rsid w:val="00E56089"/>
    <w:rsid w:val="00E847E1"/>
    <w:rsid w:val="00EB3FB2"/>
    <w:rsid w:val="00EC0A2A"/>
    <w:rsid w:val="00EC46B8"/>
    <w:rsid w:val="00ED5BF3"/>
    <w:rsid w:val="00EE00BA"/>
    <w:rsid w:val="00EE18A7"/>
    <w:rsid w:val="00EE18ED"/>
    <w:rsid w:val="00EE525D"/>
    <w:rsid w:val="00EE6E72"/>
    <w:rsid w:val="00EF43D8"/>
    <w:rsid w:val="00F030A6"/>
    <w:rsid w:val="00F173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E5B6-B6C7-4231-924D-2888F017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TotalTime>
  <Pages>9</Pages>
  <Words>7331</Words>
  <Characters>4180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2</cp:revision>
  <cp:lastPrinted>2004-04-02T13:43:00Z</cp:lastPrinted>
  <dcterms:created xsi:type="dcterms:W3CDTF">2016-11-07T14:27:00Z</dcterms:created>
  <dcterms:modified xsi:type="dcterms:W3CDTF">2016-11-07T14:27:00Z</dcterms:modified>
</cp:coreProperties>
</file>